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BA00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49ED0134">
      <w:pPr>
        <w:jc w:val="center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kern w:val="0"/>
          <w:sz w:val="44"/>
          <w:szCs w:val="44"/>
          <w:highlight w:val="none"/>
        </w:rPr>
        <w:t>招聘岗位职责及任职资格</w:t>
      </w:r>
    </w:p>
    <w:tbl>
      <w:tblPr>
        <w:tblStyle w:val="3"/>
        <w:tblW w:w="5052" w:type="pct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3"/>
        <w:gridCol w:w="4839"/>
        <w:gridCol w:w="5557"/>
      </w:tblGrid>
      <w:tr w14:paraId="444E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E0DA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DB44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岗位职责</w:t>
            </w:r>
          </w:p>
        </w:tc>
        <w:tc>
          <w:tcPr>
            <w:tcW w:w="5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60DC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任职要求</w:t>
            </w:r>
          </w:p>
        </w:tc>
      </w:tr>
      <w:tr w14:paraId="43A4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2" w:hRule="atLeast"/>
        </w:trPr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31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长江创投公司投资总监、社保中心副主任</w:t>
            </w:r>
          </w:p>
        </w:tc>
        <w:tc>
          <w:tcPr>
            <w:tcW w:w="4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0D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1.围绕集团战略部署及自身发展规划，推进各类基金发起设立与项目投资</w:t>
            </w:r>
          </w:p>
          <w:p w14:paraId="077BD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2.负责投资团队能力建设，组织开展行业研究，培育团队项目挖掘与研判能力</w:t>
            </w:r>
          </w:p>
          <w:p w14:paraId="4F560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3.协助管理中心主任制定和落实年度经营计划、业务发展策略并组织落实，完成各项经营管理指标；</w:t>
            </w:r>
          </w:p>
          <w:p w14:paraId="7CF39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4.落实上级管理要求，拓展市场化业务合作渠道；</w:t>
            </w:r>
          </w:p>
          <w:p w14:paraId="61AFE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5.完成分管领域各项工作任务；</w:t>
            </w:r>
          </w:p>
          <w:p w14:paraId="2B65E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6.完成上级交办的其他工作。</w:t>
            </w:r>
          </w:p>
        </w:tc>
        <w:tc>
          <w:tcPr>
            <w:tcW w:w="5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70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1.年龄原则上不超过45周岁，身体健康，具备适应工作需要的身体条件；</w:t>
            </w:r>
          </w:p>
          <w:p w14:paraId="4E58B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2.具有大学本科（全日制）及以上学历，经管、法律、工科等相关专业背景，具有证券、基金从业资格证；</w:t>
            </w:r>
          </w:p>
          <w:p w14:paraId="785A0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3.具有累计10年以上基金管理、项目投资等相关工作经验，管理基金规模不少于10亿元，或参与过5个及以上项目投资全流程，其中主导项目且退出的案例不低于3个；具备较为丰富的行业资源；</w:t>
            </w:r>
          </w:p>
          <w:p w14:paraId="3BFFD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4.具有不低于5年团队管理经验，现任或曾任知名创投机构、金融机构中层正职及以上岗位；</w:t>
            </w:r>
          </w:p>
          <w:p w14:paraId="78CDA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5.熟悉国资投资机构运营机制，具备一定行业资源，能够承受一定工作压力，符合相关法律规定及监管部门规定的资格要求；</w:t>
            </w:r>
          </w:p>
          <w:p w14:paraId="68642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6.近三年考核结果无“基本胜任”“不胜任”情形，无违法、违规、违纪及责任事故发生，符合任职回避制度；</w:t>
            </w:r>
          </w:p>
        </w:tc>
      </w:tr>
    </w:tbl>
    <w:p w14:paraId="07600818"/>
    <w:sectPr>
      <w:pgSz w:w="16838" w:h="11906" w:orient="landscape"/>
      <w:pgMar w:top="1531" w:right="2098" w:bottom="1531" w:left="181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5429B"/>
    <w:rsid w:val="2495429B"/>
    <w:rsid w:val="53346F2A"/>
    <w:rsid w:val="5797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511</Words>
  <Characters>526</Characters>
  <Lines>0</Lines>
  <Paragraphs>0</Paragraphs>
  <TotalTime>0</TotalTime>
  <ScaleCrop>false</ScaleCrop>
  <LinksUpToDate>false</LinksUpToDate>
  <CharactersWithSpaces>526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2026-11-04T02:19:00Z</dcterms:created>
  <dc:creator>徐浩翔</dc:creator>
  <cp:lastModifiedBy>骆璐</cp:lastModifiedBy>
  <dcterms:modified xsi:type="dcterms:W3CDTF">2026-11-05T07:24:42Z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615C536F5C4A47908F00A8B068F1337F_13</vt:lpwstr>
  </property>
  <property fmtid="{D5CDD505-2E9C-101B-9397-08002B2CF9AE}" pid="4" name="KSOTemplateDocerSaveRecord">
    <vt:lpwstr>eyJoZGlkIjoiZGNmZjVhMDc3M2M5M2NjODNmZmZkM2IzNzdjZjAwODUiLCJ1c2VySWQiOiIyNTQwNzM2ODQifQ==</vt:lpwstr>
  </property>
</Properties>
</file>