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Times New Roman" w:hAnsi="Times New Roman" w:eastAsia="方正小标宋简体"/>
          <w:b w:val="0"/>
          <w:sz w:val="36"/>
        </w:rPr>
        <w:t>江西财经大学现代经济管理学院产业教授岗位需求表</w:t>
      </w:r>
    </w:p>
    <w:p>
      <w:pPr>
        <w:spacing w:after="80"/>
      </w:pPr>
      <w:r>
        <w:rPr>
          <w:rFonts w:ascii="Times New Roman" w:hAnsi="Times New Roman" w:eastAsia="宋体"/>
          <w:b w:val="0"/>
          <w:sz w:val="21"/>
        </w:rPr>
        <w:t>学校名称（盖章）：江西财经大学现代经济管理学院　　联系人：胡老师　　联系电话：0792-4391151</w:t>
      </w:r>
    </w:p>
    <w:tbl>
      <w:tblPr>
        <w:tblStyle w:val="TableGrid"/>
        <w:tblW w:type="auto" w:w="0"/>
        <w:jc w:val="center"/>
        <w:tblLayout w:type="fixed"/>
        <w:tblLook w:firstColumn="1" w:firstRow="1" w:lastColumn="0" w:lastRow="0" w:noHBand="0" w:noVBand="1" w:val="04A0"/>
        <w:tblLayout w:type="fixed"/>
      </w:tblPr>
      <w:tblGrid>
        <w:gridCol w:w="680"/>
        <w:gridCol w:w="1814"/>
        <w:gridCol w:w="1134"/>
        <w:gridCol w:w="5669"/>
        <w:gridCol w:w="5669"/>
      </w:tblGrid>
      <w:tr>
        <w:trPr>
          <w:tblHeader w:val="true"/>
        </w:trPr>
        <w:tc>
          <w:tcPr>
            <w:tcW w:type="dxa" w:w="680"/>
            <w:shd w:val="clear" w:color="auto" w:fill="D9E2F3"/>
            <w:vAlign w:val="center"/>
          </w:tcPr>
          <w:p>
            <w:pPr>
              <w:spacing w:before="20" w:after="20" w:line="240" w:lineRule="auto"/>
              <w:jc w:val="center"/>
            </w:pPr>
            <w:r/>
            <w:r>
              <w:rPr>
                <w:rFonts w:ascii="Times New Roman" w:hAnsi="Times New Roman" w:eastAsia="黑体"/>
                <w:b/>
                <w:sz w:val="21"/>
              </w:rPr>
              <w:t>序号</w:t>
            </w:r>
          </w:p>
        </w:tc>
        <w:tc>
          <w:tcPr>
            <w:tcW w:type="dxa" w:w="1814"/>
            <w:shd w:val="clear" w:color="auto" w:fill="D9E2F3"/>
            <w:vAlign w:val="center"/>
          </w:tcPr>
          <w:p>
            <w:pPr>
              <w:spacing w:before="20" w:after="20" w:line="240" w:lineRule="auto"/>
              <w:jc w:val="center"/>
            </w:pPr>
            <w:r/>
            <w:r>
              <w:rPr>
                <w:rFonts w:ascii="Times New Roman" w:hAnsi="Times New Roman" w:eastAsia="黑体"/>
                <w:b/>
                <w:sz w:val="21"/>
              </w:rPr>
              <w:t>岗位名称</w:t>
            </w:r>
          </w:p>
        </w:tc>
        <w:tc>
          <w:tcPr>
            <w:tcW w:type="dxa" w:w="1134"/>
            <w:shd w:val="clear" w:color="auto" w:fill="D9E2F3"/>
            <w:vAlign w:val="center"/>
          </w:tcPr>
          <w:p>
            <w:pPr>
              <w:spacing w:before="20" w:after="20" w:line="240" w:lineRule="auto"/>
              <w:jc w:val="center"/>
            </w:pPr>
            <w:r/>
            <w:r>
              <w:rPr>
                <w:rFonts w:ascii="Times New Roman" w:hAnsi="Times New Roman" w:eastAsia="黑体"/>
                <w:b/>
                <w:sz w:val="21"/>
              </w:rPr>
              <w:t>聘任数量</w:t>
            </w:r>
          </w:p>
        </w:tc>
        <w:tc>
          <w:tcPr>
            <w:tcW w:type="dxa" w:w="5669"/>
            <w:shd w:val="clear" w:color="auto" w:fill="D9E2F3"/>
            <w:vAlign w:val="center"/>
          </w:tcPr>
          <w:p>
            <w:pPr>
              <w:spacing w:before="20" w:after="20" w:line="240" w:lineRule="auto"/>
              <w:jc w:val="center"/>
            </w:pPr>
            <w:r/>
            <w:r>
              <w:rPr>
                <w:rFonts w:ascii="Times New Roman" w:hAnsi="Times New Roman" w:eastAsia="黑体"/>
                <w:b/>
                <w:sz w:val="21"/>
              </w:rPr>
              <w:t>岗位职责简述</w:t>
            </w:r>
          </w:p>
        </w:tc>
        <w:tc>
          <w:tcPr>
            <w:tcW w:type="dxa" w:w="5669"/>
            <w:shd w:val="clear" w:color="auto" w:fill="D9E2F3"/>
            <w:vAlign w:val="center"/>
          </w:tcPr>
          <w:p>
            <w:pPr>
              <w:spacing w:before="20" w:after="20" w:line="240" w:lineRule="auto"/>
              <w:jc w:val="center"/>
            </w:pPr>
            <w:r/>
            <w:r>
              <w:rPr>
                <w:rFonts w:ascii="Times New Roman" w:hAnsi="Times New Roman" w:eastAsia="黑体"/>
                <w:b/>
                <w:sz w:val="21"/>
              </w:rPr>
              <w:t>产业（专业）领域要求</w:t>
            </w:r>
          </w:p>
        </w:tc>
      </w:tr>
      <w:tr>
        <w:trPr>
          <w:cantSplit w:val="true"/>
        </w:trPr>
        <w:tc>
          <w:tcPr>
            <w:tcW w:type="dxa" w:w="680"/>
            <w:vAlign w:val="center"/>
          </w:tcPr>
          <w:p>
            <w:pPr>
              <w:spacing w:before="20" w:after="20" w:line="240" w:lineRule="auto"/>
              <w:jc w:val="center"/>
            </w:pPr>
            <w:r/>
            <w:r>
              <w:rPr>
                <w:rFonts w:ascii="Times New Roman" w:hAnsi="Times New Roman" w:eastAsia="宋体"/>
                <w:b w:val="0"/>
                <w:sz w:val="18"/>
              </w:rPr>
              <w:t>1</w:t>
            </w:r>
          </w:p>
        </w:tc>
        <w:tc>
          <w:tcPr>
            <w:tcW w:type="dxa" w:w="1814"/>
            <w:vAlign w:val="center"/>
          </w:tcPr>
          <w:p>
            <w:pPr>
              <w:spacing w:before="20" w:after="20" w:line="240" w:lineRule="auto"/>
              <w:jc w:val="center"/>
            </w:pPr>
            <w:r/>
            <w:r>
              <w:rPr>
                <w:rFonts w:ascii="Times New Roman" w:hAnsi="Times New Roman" w:eastAsia="宋体"/>
                <w:b w:val="0"/>
                <w:sz w:val="18"/>
              </w:rPr>
              <w:t>金融科技</w:t>
            </w:r>
          </w:p>
        </w:tc>
        <w:tc>
          <w:tcPr>
            <w:tcW w:type="dxa" w:w="1134"/>
            <w:vAlign w:val="center"/>
          </w:tcPr>
          <w:p>
            <w:pPr>
              <w:spacing w:before="20" w:after="20" w:line="240" w:lineRule="auto"/>
              <w:jc w:val="center"/>
            </w:pPr>
            <w:r/>
            <w:r>
              <w:rPr>
                <w:rFonts w:ascii="Times New Roman" w:hAnsi="Times New Roman" w:eastAsia="宋体"/>
                <w:b w:val="0"/>
                <w:sz w:val="18"/>
              </w:rPr>
              <w:t>1</w:t>
            </w:r>
          </w:p>
        </w:tc>
        <w:tc>
          <w:tcPr>
            <w:tcW w:type="dxa" w:w="5669"/>
            <w:vAlign w:val="center"/>
          </w:tcPr>
          <w:p>
            <w:pPr>
              <w:spacing w:before="20" w:after="20" w:line="240" w:lineRule="auto"/>
              <w:jc w:val="both"/>
            </w:pPr>
            <w:r/>
            <w:r>
              <w:rPr>
                <w:rFonts w:ascii="Times New Roman" w:hAnsi="Times New Roman" w:eastAsia="宋体"/>
                <w:b w:val="0"/>
                <w:sz w:val="18"/>
              </w:rPr>
              <w:t>1.参与</w:t>
            </w:r>
            <w:r>
              <w:rPr>
                <w:rFonts w:ascii="Times New Roman" w:hAnsi="Times New Roman" w:eastAsia="宋体"/>
                <w:b w:val="0"/>
                <w:sz w:val="18"/>
              </w:rPr>
              <w:t>学院</w:t>
            </w:r>
            <w:r>
              <w:rPr>
                <w:rFonts w:ascii="Times New Roman" w:hAnsi="Times New Roman" w:eastAsia="宋体"/>
                <w:b w:val="0"/>
                <w:sz w:val="18"/>
              </w:rPr>
              <w:t>金融科技专业人才培养与教学工作，指导青年教师和学生参加金融科技生产实践，或指导学生参加科技创新和毕业设计（论文）等；2.推动所在单位成为</w:t>
            </w:r>
            <w:r>
              <w:rPr>
                <w:rFonts w:ascii="Times New Roman" w:hAnsi="Times New Roman" w:eastAsia="宋体"/>
                <w:b w:val="0"/>
                <w:sz w:val="18"/>
              </w:rPr>
              <w:t>学院</w:t>
            </w:r>
            <w:r>
              <w:rPr>
                <w:rFonts w:ascii="Times New Roman" w:hAnsi="Times New Roman" w:eastAsia="宋体"/>
                <w:b w:val="0"/>
                <w:sz w:val="18"/>
              </w:rPr>
              <w:t>产教融合实习实训基地，积极推荐合作高校毕业生到所在单位就业；3.搭建金融科技行业企业与</w:t>
            </w:r>
            <w:r>
              <w:rPr>
                <w:rFonts w:ascii="Times New Roman" w:hAnsi="Times New Roman" w:eastAsia="宋体"/>
                <w:b w:val="0"/>
                <w:sz w:val="18"/>
              </w:rPr>
              <w:t>学院</w:t>
            </w:r>
            <w:r>
              <w:rPr>
                <w:rFonts w:ascii="Times New Roman" w:hAnsi="Times New Roman" w:eastAsia="宋体"/>
                <w:b w:val="0"/>
                <w:sz w:val="18"/>
              </w:rPr>
              <w:t>对接的桥梁，与</w:t>
            </w:r>
            <w:r>
              <w:rPr>
                <w:rFonts w:ascii="Times New Roman" w:hAnsi="Times New Roman" w:eastAsia="宋体"/>
                <w:b w:val="0"/>
                <w:sz w:val="18"/>
              </w:rPr>
              <w:t>学院</w:t>
            </w:r>
            <w:r>
              <w:rPr>
                <w:rFonts w:ascii="Times New Roman" w:hAnsi="Times New Roman" w:eastAsia="宋体"/>
                <w:b w:val="0"/>
                <w:sz w:val="18"/>
              </w:rPr>
              <w:t>联合开展项目申报、教材建设、科学研究、科技开发、成果转化等；4.推动所在单位与</w:t>
            </w:r>
            <w:r>
              <w:rPr>
                <w:rFonts w:ascii="Times New Roman" w:hAnsi="Times New Roman" w:eastAsia="宋体"/>
                <w:b w:val="0"/>
                <w:sz w:val="18"/>
              </w:rPr>
              <w:t>学院</w:t>
            </w:r>
            <w:r>
              <w:rPr>
                <w:rFonts w:ascii="Times New Roman" w:hAnsi="Times New Roman" w:eastAsia="宋体"/>
                <w:b w:val="0"/>
                <w:sz w:val="18"/>
              </w:rPr>
              <w:t>共建绿色金融现代产业学院，参与现代产业学院建设与管理工作。</w:t>
            </w:r>
          </w:p>
        </w:tc>
        <w:tc>
          <w:tcPr>
            <w:tcW w:type="dxa" w:w="5669"/>
            <w:vAlign w:val="center"/>
          </w:tcPr>
          <w:p>
            <w:pPr>
              <w:spacing w:before="20" w:after="20" w:line="240" w:lineRule="auto"/>
              <w:jc w:val="both"/>
            </w:pPr>
            <w:r/>
            <w:r>
              <w:rPr>
                <w:rFonts w:ascii="Times New Roman" w:hAnsi="Times New Roman" w:eastAsia="宋体"/>
                <w:b w:val="0"/>
                <w:sz w:val="18"/>
              </w:rPr>
              <w:t>面向金融科技领域，选聘规模以上金融科技企业、银行等金融机构或金融科技公司的中高层管理人员、科技创新人才。原则上应具有拟聘任相关学科本科及以上学位，具有高级职称或丰富的企业管理经验，熟悉人工智能、大数据、区块链、云计算等新兴信息技术在金融领域的应用，具备较高的管理水平或科研技术水平，身心健康，能够投入足够的时间与精力从事产业教授工作。</w:t>
            </w:r>
          </w:p>
        </w:tc>
      </w:tr>
      <w:tr>
        <w:trPr>
          <w:cantSplit w:val="true"/>
        </w:trPr>
        <w:tc>
          <w:tcPr>
            <w:tcW w:type="dxa" w:w="680"/>
            <w:vAlign w:val="center"/>
          </w:tcPr>
          <w:p>
            <w:pPr>
              <w:spacing w:before="20" w:after="20" w:line="240" w:lineRule="auto"/>
              <w:jc w:val="center"/>
            </w:pPr>
            <w:r/>
            <w:r>
              <w:rPr>
                <w:rFonts w:ascii="Times New Roman" w:hAnsi="Times New Roman" w:eastAsia="宋体"/>
                <w:b w:val="0"/>
                <w:sz w:val="18"/>
              </w:rPr>
              <w:t>2</w:t>
            </w:r>
          </w:p>
        </w:tc>
        <w:tc>
          <w:tcPr>
            <w:tcW w:type="dxa" w:w="1814"/>
            <w:vAlign w:val="center"/>
          </w:tcPr>
          <w:p>
            <w:pPr>
              <w:spacing w:before="20" w:after="20" w:line="240" w:lineRule="auto"/>
              <w:jc w:val="center"/>
            </w:pPr>
            <w:r/>
            <w:r>
              <w:rPr>
                <w:rFonts w:ascii="Times New Roman" w:hAnsi="Times New Roman" w:eastAsia="宋体"/>
                <w:b w:val="0"/>
                <w:sz w:val="18"/>
              </w:rPr>
              <w:t>法学</w:t>
            </w:r>
          </w:p>
        </w:tc>
        <w:tc>
          <w:tcPr>
            <w:tcW w:type="dxa" w:w="1134"/>
            <w:vAlign w:val="center"/>
          </w:tcPr>
          <w:p>
            <w:pPr>
              <w:spacing w:before="20" w:after="20" w:line="240" w:lineRule="auto"/>
              <w:jc w:val="center"/>
            </w:pPr>
            <w:r/>
            <w:r>
              <w:rPr>
                <w:rFonts w:ascii="Times New Roman" w:hAnsi="Times New Roman" w:eastAsia="宋体"/>
                <w:b w:val="0"/>
                <w:sz w:val="18"/>
              </w:rPr>
              <w:t>2</w:t>
            </w:r>
          </w:p>
        </w:tc>
        <w:tc>
          <w:tcPr>
            <w:tcW w:type="dxa" w:w="5669"/>
            <w:vAlign w:val="center"/>
          </w:tcPr>
          <w:p>
            <w:pPr>
              <w:spacing w:before="20" w:after="20" w:line="240" w:lineRule="auto"/>
              <w:jc w:val="both"/>
            </w:pPr>
            <w:r/>
            <w:r>
              <w:rPr>
                <w:rFonts w:ascii="Times New Roman" w:hAnsi="Times New Roman" w:eastAsia="宋体"/>
                <w:b w:val="0"/>
                <w:sz w:val="18"/>
              </w:rPr>
              <w:t>参与法学实务课程、实践教学，指导实习、模拟法庭与学科竞赛；在人才培养和教学改革、创新创业教育、律师学院建设上有</w:t>
            </w:r>
            <w:r>
              <w:rPr>
                <w:rFonts w:ascii="Times New Roman" w:hAnsi="Times New Roman" w:eastAsia="宋体"/>
                <w:b w:val="0"/>
                <w:sz w:val="18"/>
              </w:rPr>
              <w:t>较大</w:t>
            </w:r>
            <w:r>
              <w:rPr>
                <w:rFonts w:ascii="Times New Roman" w:hAnsi="Times New Roman" w:eastAsia="宋体"/>
                <w:b w:val="0"/>
                <w:sz w:val="18"/>
              </w:rPr>
              <w:t>贡献，共建实践基地，与</w:t>
            </w:r>
            <w:r>
              <w:rPr>
                <w:rFonts w:ascii="Times New Roman" w:hAnsi="Times New Roman" w:eastAsia="宋体"/>
                <w:b w:val="0"/>
                <w:sz w:val="18"/>
              </w:rPr>
              <w:t>学院</w:t>
            </w:r>
            <w:r>
              <w:rPr>
                <w:rFonts w:ascii="Times New Roman" w:hAnsi="Times New Roman" w:eastAsia="宋体"/>
                <w:b w:val="0"/>
                <w:sz w:val="18"/>
              </w:rPr>
              <w:t>有较好的合作基础，推进产教融合，</w:t>
            </w:r>
            <w:r>
              <w:rPr>
                <w:rFonts w:ascii="Times New Roman" w:hAnsi="Times New Roman" w:eastAsia="宋体"/>
                <w:b w:val="0"/>
                <w:sz w:val="18"/>
              </w:rPr>
              <w:t>推动</w:t>
            </w:r>
            <w:r>
              <w:rPr>
                <w:rFonts w:ascii="Times New Roman" w:hAnsi="Times New Roman" w:eastAsia="宋体"/>
                <w:b w:val="0"/>
                <w:sz w:val="18"/>
              </w:rPr>
              <w:t>学生实习就业</w:t>
            </w:r>
            <w:r>
              <w:rPr>
                <w:rFonts w:ascii="Times New Roman" w:hAnsi="Times New Roman" w:eastAsia="宋体"/>
                <w:b w:val="0"/>
                <w:sz w:val="18"/>
              </w:rPr>
              <w:t>工作</w:t>
            </w:r>
            <w:r>
              <w:rPr>
                <w:rFonts w:ascii="Times New Roman" w:hAnsi="Times New Roman" w:eastAsia="宋体"/>
                <w:b w:val="0"/>
                <w:sz w:val="18"/>
              </w:rPr>
              <w:t>开展。</w:t>
            </w:r>
          </w:p>
        </w:tc>
        <w:tc>
          <w:tcPr>
            <w:tcW w:type="dxa" w:w="5669"/>
            <w:vAlign w:val="center"/>
          </w:tcPr>
          <w:p>
            <w:pPr>
              <w:spacing w:before="20" w:after="20" w:line="240" w:lineRule="auto"/>
              <w:jc w:val="both"/>
            </w:pPr>
            <w:r/>
            <w:r>
              <w:rPr>
                <w:rFonts w:ascii="Times New Roman" w:hAnsi="Times New Roman" w:eastAsia="宋体"/>
                <w:b w:val="0"/>
                <w:sz w:val="18"/>
              </w:rPr>
              <w:t>面向法律实务一线，涵盖民商事争议解决、企业合规风控、行政法治、基层治理、公共法律服务等方向；熟悉司法办案、律师执业、企业法务、行政执法等业务流程，具备执业律师、企业合规律师、基层法治工作等长期实务经历，可对接地方产业与基层法治建设需求。</w:t>
            </w:r>
          </w:p>
        </w:tc>
      </w:tr>
      <w:tr>
        <w:trPr>
          <w:cantSplit w:val="true"/>
        </w:trPr>
        <w:tc>
          <w:tcPr>
            <w:tcW w:type="dxa" w:w="680"/>
            <w:vAlign w:val="center"/>
          </w:tcPr>
          <w:p>
            <w:pPr>
              <w:spacing w:before="20" w:after="20" w:line="240" w:lineRule="auto"/>
              <w:jc w:val="center"/>
            </w:pPr>
            <w:r/>
            <w:r>
              <w:rPr>
                <w:rFonts w:ascii="Times New Roman" w:hAnsi="Times New Roman" w:eastAsia="宋体"/>
                <w:b w:val="0"/>
                <w:sz w:val="18"/>
              </w:rPr>
              <w:t>3</w:t>
            </w:r>
          </w:p>
        </w:tc>
        <w:tc>
          <w:tcPr>
            <w:tcW w:type="dxa" w:w="1814"/>
            <w:vAlign w:val="center"/>
          </w:tcPr>
          <w:p>
            <w:pPr>
              <w:spacing w:before="20" w:after="20" w:line="240" w:lineRule="auto"/>
              <w:jc w:val="center"/>
            </w:pPr>
            <w:r/>
            <w:r>
              <w:rPr>
                <w:rFonts w:ascii="Times New Roman" w:hAnsi="Times New Roman" w:eastAsia="宋体"/>
                <w:b w:val="0"/>
                <w:sz w:val="18"/>
              </w:rPr>
              <w:t>商务英语</w:t>
            </w:r>
            <w:r>
              <w:rPr>
                <w:rFonts w:ascii="Times New Roman" w:hAnsi="Times New Roman" w:eastAsia="宋体"/>
                <w:b w:val="0"/>
                <w:sz w:val="18"/>
              </w:rPr>
              <w:t>（跨境电商方向）</w:t>
            </w:r>
          </w:p>
        </w:tc>
        <w:tc>
          <w:tcPr>
            <w:tcW w:type="dxa" w:w="1134"/>
            <w:vAlign w:val="center"/>
          </w:tcPr>
          <w:p>
            <w:pPr>
              <w:spacing w:before="20" w:after="20" w:line="240" w:lineRule="auto"/>
              <w:jc w:val="center"/>
            </w:pPr>
            <w:r/>
            <w:r>
              <w:rPr>
                <w:rFonts w:ascii="Times New Roman" w:hAnsi="Times New Roman" w:eastAsia="宋体"/>
                <w:b w:val="0"/>
                <w:sz w:val="18"/>
              </w:rPr>
              <w:t>1</w:t>
            </w:r>
          </w:p>
        </w:tc>
        <w:tc>
          <w:tcPr>
            <w:tcW w:type="dxa" w:w="5669"/>
            <w:vAlign w:val="center"/>
          </w:tcPr>
          <w:p>
            <w:pPr>
              <w:spacing w:before="20" w:after="20" w:line="240" w:lineRule="auto"/>
              <w:jc w:val="both"/>
            </w:pPr>
            <w:r/>
            <w:r>
              <w:rPr>
                <w:rFonts w:ascii="Times New Roman" w:hAnsi="Times New Roman" w:eastAsia="宋体"/>
                <w:b w:val="0"/>
                <w:sz w:val="18"/>
              </w:rPr>
              <w:t>1.承担《跨境电商平台实训》等校企合作实践课程或行业讲座（≥32学时/年）；2.主导或参与校企合作课程共建、教材开发及人才培养方案优化；3.推动校企共建跨境电商实训基地、产教融合基地，推荐学生实习就业；4.联合开展跨境电商运营、国际数字营销等横向课题与成果转化。</w:t>
            </w:r>
          </w:p>
        </w:tc>
        <w:tc>
          <w:tcPr>
            <w:tcW w:type="dxa" w:w="5669"/>
            <w:vAlign w:val="center"/>
          </w:tcPr>
          <w:p>
            <w:pPr>
              <w:spacing w:before="20" w:after="20" w:line="240" w:lineRule="auto"/>
              <w:jc w:val="both"/>
            </w:pPr>
            <w:r/>
            <w:r>
              <w:rPr>
                <w:rFonts w:ascii="Times New Roman" w:hAnsi="Times New Roman" w:eastAsia="宋体"/>
                <w:b w:val="0"/>
                <w:sz w:val="18"/>
              </w:rPr>
              <w:t>1.具备跨境电商、国际数字营销或外贸实战经验，熟悉主流跨境平台运营及商务英语应用；2.具有副高及以上职称或规模以上企业中层及以上职务，或省级及以上高技能人才称号；3.具有本科及以上学位，年龄不超过60周岁（拔尖人才可放宽至65周岁），能保证定期到校履职。</w:t>
            </w:r>
          </w:p>
        </w:tc>
      </w:tr>
      <w:tr>
        <w:trPr>
          <w:cantSplit w:val="true"/>
        </w:trPr>
        <w:tc>
          <w:tcPr>
            <w:tcW w:type="dxa" w:w="680"/>
            <w:vAlign w:val="center"/>
          </w:tcPr>
          <w:p>
            <w:pPr>
              <w:spacing w:before="20" w:after="20" w:line="240" w:lineRule="auto"/>
              <w:jc w:val="center"/>
            </w:pPr>
            <w:r/>
            <w:r>
              <w:rPr>
                <w:rFonts w:ascii="Times New Roman" w:hAnsi="Times New Roman" w:eastAsia="宋体"/>
                <w:b w:val="0"/>
                <w:sz w:val="18"/>
              </w:rPr>
              <w:t>4</w:t>
            </w:r>
          </w:p>
        </w:tc>
        <w:tc>
          <w:tcPr>
            <w:tcW w:type="dxa" w:w="1814"/>
            <w:vAlign w:val="center"/>
          </w:tcPr>
          <w:p>
            <w:pPr>
              <w:spacing w:before="20" w:after="20" w:line="240" w:lineRule="auto"/>
              <w:jc w:val="center"/>
            </w:pPr>
            <w:r/>
            <w:r>
              <w:rPr>
                <w:rFonts w:ascii="Times New Roman" w:hAnsi="Times New Roman" w:eastAsia="宋体"/>
                <w:b w:val="0"/>
                <w:sz w:val="18"/>
              </w:rPr>
              <w:t>财务管理</w:t>
            </w:r>
          </w:p>
        </w:tc>
        <w:tc>
          <w:tcPr>
            <w:tcW w:type="dxa" w:w="1134"/>
            <w:vAlign w:val="center"/>
          </w:tcPr>
          <w:p>
            <w:pPr>
              <w:spacing w:before="20" w:after="20" w:line="240" w:lineRule="auto"/>
              <w:jc w:val="center"/>
            </w:pPr>
            <w:r/>
            <w:r>
              <w:rPr>
                <w:rFonts w:ascii="Times New Roman" w:hAnsi="Times New Roman" w:eastAsia="宋体"/>
                <w:b w:val="0"/>
                <w:sz w:val="18"/>
              </w:rPr>
              <w:t>2</w:t>
            </w:r>
          </w:p>
        </w:tc>
        <w:tc>
          <w:tcPr>
            <w:tcW w:type="dxa" w:w="5669"/>
            <w:vAlign w:val="center"/>
          </w:tcPr>
          <w:p>
            <w:pPr>
              <w:spacing w:before="20" w:after="20" w:line="240" w:lineRule="auto"/>
              <w:jc w:val="both"/>
            </w:pPr>
            <w:r/>
            <w:r>
              <w:rPr>
                <w:rFonts w:ascii="Times New Roman" w:hAnsi="Times New Roman" w:eastAsia="宋体"/>
                <w:b w:val="0"/>
                <w:sz w:val="18"/>
              </w:rPr>
              <w:t>1.深度参与人才培养：参与财务管理专业培养方案修订，针对《公司战略与风险管理》《高级财务管理》或《RPA财务机器人应用》等实践性强的课程开展专题讲座。2.指导实践与竞赛：指导学生开展毕业设计（论文）、财务决策实训及“互联网+”等创新创业大赛，联合指导学生在企业真实场景下完成财务数据分析与商业可视化实战项目。3.共建产教融合平台：推动所在单位（如会计师事务所、大中型企业财务共享中心或金融机构）与学院共建现代产业学院或联合实验室，接纳青年教师挂职锻炼及学生实习实训。4.推动产学研合作：联合申报横向课题或教改项目，在财务数字化转型、管理会计工具应用或企业投融资决策咨询等领域开展合作，促进科研成果落地转化。5.拓宽就业渠道：发挥行业资源优势，推荐合作高校优秀毕业生到所在单位或产业链上下游企业就业，协助开展就业指导和职业生涯规划。</w:t>
            </w:r>
          </w:p>
        </w:tc>
        <w:tc>
          <w:tcPr>
            <w:tcW w:type="dxa" w:w="5669"/>
            <w:vAlign w:val="center"/>
          </w:tcPr>
          <w:p>
            <w:pPr>
              <w:spacing w:before="20" w:after="20" w:line="240" w:lineRule="auto"/>
              <w:jc w:val="both"/>
            </w:pPr>
            <w:r/>
            <w:r>
              <w:rPr>
                <w:rFonts w:ascii="Times New Roman" w:hAnsi="Times New Roman" w:eastAsia="宋体"/>
                <w:b w:val="0"/>
                <w:sz w:val="18"/>
              </w:rPr>
              <w:t>1.行业背景：优先考虑来自江西省“1269”行动计划重点产业链（如电子信息、新能源、装备制造、生物医药等）相关的规模以上企业、上市公司、大型金融机构或知名会计师事务所的应聘者。2.职务与资质：原则上为上述单位的高层管理人员（如财务总监、总会计师、合伙人）或科技创新、财务数字化负责人；具有高级会计师、高级经济师、注册会计师（CPA）或省级以上高技能人才称号者优先。3.专业能力：精通企业投融资决策、成本管控、税务筹划或财务数字化转型；熟悉大数据财务分析、RPA财务机器人、Power BI商业可视化等智能财务工具在实务中的应用场景，具备丰富的校企合作经验或产教融合项目经历。4.合作基础：与江西财经大学现代经济管理学院在“政产学研金介用”方面有良好合作基础，或所在单位已与学院建立实习基地、联合实验室等平台者优先考虑。</w:t>
            </w:r>
          </w:p>
        </w:tc>
      </w:tr>
      <w:tr>
        <w:trPr>
          <w:cantSplit w:val="true"/>
        </w:trPr>
        <w:tc>
          <w:tcPr>
            <w:tcW w:type="dxa" w:w="680"/>
            <w:vAlign w:val="center"/>
          </w:tcPr>
          <w:p>
            <w:pPr>
              <w:spacing w:before="20" w:after="20" w:line="240" w:lineRule="auto"/>
              <w:jc w:val="center"/>
            </w:pPr>
            <w:r/>
            <w:r>
              <w:rPr>
                <w:rFonts w:ascii="Times New Roman" w:hAnsi="Times New Roman" w:eastAsia="宋体"/>
                <w:b w:val="0"/>
                <w:sz w:val="18"/>
              </w:rPr>
              <w:t>5</w:t>
            </w:r>
          </w:p>
        </w:tc>
        <w:tc>
          <w:tcPr>
            <w:tcW w:type="dxa" w:w="1814"/>
            <w:vAlign w:val="center"/>
          </w:tcPr>
          <w:p>
            <w:pPr>
              <w:spacing w:before="20" w:after="20" w:line="240" w:lineRule="auto"/>
              <w:jc w:val="center"/>
            </w:pPr>
            <w:r/>
            <w:r>
              <w:rPr>
                <w:rFonts w:ascii="Times New Roman" w:hAnsi="Times New Roman" w:eastAsia="宋体"/>
                <w:b w:val="0"/>
                <w:sz w:val="18"/>
              </w:rPr>
              <w:t>税收学</w:t>
            </w:r>
          </w:p>
        </w:tc>
        <w:tc>
          <w:tcPr>
            <w:tcW w:type="dxa" w:w="1134"/>
            <w:vAlign w:val="center"/>
          </w:tcPr>
          <w:p>
            <w:pPr>
              <w:spacing w:before="20" w:after="20" w:line="240" w:lineRule="auto"/>
              <w:jc w:val="center"/>
            </w:pPr>
            <w:r/>
            <w:r>
              <w:rPr>
                <w:rFonts w:ascii="Times New Roman" w:hAnsi="Times New Roman" w:eastAsia="宋体"/>
                <w:b w:val="0"/>
                <w:sz w:val="18"/>
              </w:rPr>
              <w:t>2</w:t>
            </w:r>
          </w:p>
        </w:tc>
        <w:tc>
          <w:tcPr>
            <w:tcW w:type="dxa" w:w="5669"/>
            <w:vAlign w:val="center"/>
          </w:tcPr>
          <w:p>
            <w:pPr>
              <w:spacing w:before="20" w:after="20" w:line="240" w:lineRule="auto"/>
              <w:jc w:val="both"/>
            </w:pPr>
            <w:r/>
            <w:r>
              <w:rPr>
                <w:rFonts w:ascii="Times New Roman" w:hAnsi="Times New Roman" w:eastAsia="宋体"/>
                <w:b w:val="0"/>
                <w:sz w:val="18"/>
              </w:rPr>
              <w:t>1.深度参与人才培养：参与税收学专业培养方案修订，针对《税务合规计划》《企业税务风险管理》等实践性强的课程，围绕江西省“1269”行动计划重点产业链开展税收实务专题讲座。2.指导实践与竞赛：指导学生开展毕业设计（论文）、税务代理实训及“互联网+”等创新创业大赛，联合指导学生在企业真实场景下完成税务数据分析与税务合规实战项目。3.共建产教融合平台：推动所在单位与学院共建现代产业学院或联合实验室，接纳青年教师挂职锻炼及学生实习实训。4.推动产学研合作：联合申报横向课题或教改项目，在税务数字化转型、涉税风险管控或企业税务合规咨询等领域开展合作，促进科研成果落地转化。5.拓宽就业渠道：发挥行业资源优势，推荐合作高校优秀毕业生到所在单位或产业链上下游企业就业，协助开展就业指导和职业生涯规划。</w:t>
            </w:r>
          </w:p>
        </w:tc>
        <w:tc>
          <w:tcPr>
            <w:tcW w:type="dxa" w:w="5669"/>
            <w:vAlign w:val="center"/>
          </w:tcPr>
          <w:p>
            <w:pPr>
              <w:spacing w:before="20" w:after="20" w:line="240" w:lineRule="auto"/>
              <w:jc w:val="both"/>
            </w:pPr>
            <w:r/>
            <w:r>
              <w:rPr>
                <w:rFonts w:ascii="Times New Roman" w:hAnsi="Times New Roman" w:eastAsia="宋体"/>
                <w:b w:val="0"/>
                <w:sz w:val="18"/>
              </w:rPr>
              <w:t>1.行业背景：优先考虑来自知名税务师事务所、会计师事务所，江西省“1269”行动计划重点产业链相关的规模以上企业、上市公司、大型金融机构的应聘者。2.职务与资质：原则上为上述单位的高层管理人员（如税务总监、财务总监、税务合伙人）或科技创新、财税数字化负责人；具有税务师（CTA）、注册会计师（CPA）、高级会计师、高级经济师或省级以上高技能人才称号者优先。3.专业能力：精通企业税务筹划、税务合规管理、国际税收或税务数字化转型、大数据税务分析。</w:t>
            </w:r>
          </w:p>
        </w:tc>
      </w:tr>
      <w:tr>
        <w:trPr>
          <w:cantSplit w:val="true"/>
        </w:trPr>
        <w:tc>
          <w:tcPr>
            <w:tcW w:type="dxa" w:w="680"/>
            <w:vAlign w:val="center"/>
          </w:tcPr>
          <w:p>
            <w:pPr>
              <w:spacing w:before="20" w:after="20" w:line="240" w:lineRule="auto"/>
              <w:jc w:val="center"/>
            </w:pPr>
            <w:r/>
            <w:r>
              <w:rPr>
                <w:rFonts w:ascii="Times New Roman" w:hAnsi="Times New Roman" w:eastAsia="宋体"/>
                <w:b w:val="0"/>
                <w:sz w:val="18"/>
              </w:rPr>
              <w:t>6</w:t>
            </w:r>
          </w:p>
        </w:tc>
        <w:tc>
          <w:tcPr>
            <w:tcW w:type="dxa" w:w="1814"/>
            <w:vAlign w:val="center"/>
          </w:tcPr>
          <w:p>
            <w:pPr>
              <w:spacing w:before="20" w:after="20" w:line="240" w:lineRule="auto"/>
              <w:jc w:val="center"/>
            </w:pPr>
            <w:r/>
            <w:r>
              <w:rPr>
                <w:rFonts w:ascii="Times New Roman" w:hAnsi="Times New Roman" w:eastAsia="宋体"/>
                <w:b w:val="0"/>
                <w:sz w:val="18"/>
              </w:rPr>
              <w:t>工程审计</w:t>
            </w:r>
          </w:p>
        </w:tc>
        <w:tc>
          <w:tcPr>
            <w:tcW w:type="dxa" w:w="1134"/>
            <w:vAlign w:val="center"/>
          </w:tcPr>
          <w:p>
            <w:pPr>
              <w:spacing w:before="20" w:after="20" w:line="240" w:lineRule="auto"/>
              <w:jc w:val="center"/>
            </w:pPr>
            <w:r/>
            <w:r>
              <w:rPr>
                <w:rFonts w:ascii="Times New Roman" w:hAnsi="Times New Roman" w:eastAsia="宋体"/>
                <w:b w:val="0"/>
                <w:sz w:val="18"/>
              </w:rPr>
              <w:t>2</w:t>
            </w:r>
          </w:p>
        </w:tc>
        <w:tc>
          <w:tcPr>
            <w:tcW w:type="dxa" w:w="5669"/>
            <w:vAlign w:val="center"/>
          </w:tcPr>
          <w:p>
            <w:pPr>
              <w:spacing w:before="20" w:after="20" w:line="240" w:lineRule="auto"/>
              <w:jc w:val="both"/>
            </w:pPr>
            <w:r/>
            <w:r>
              <w:rPr>
                <w:rFonts w:ascii="Times New Roman" w:hAnsi="Times New Roman" w:eastAsia="宋体"/>
                <w:b w:val="0"/>
                <w:sz w:val="18"/>
              </w:rPr>
              <w:t>1.深度参与人才培养：参与工程审计专业培养方案</w:t>
            </w:r>
            <w:r>
              <w:rPr>
                <w:rFonts w:ascii="Times New Roman" w:hAnsi="Times New Roman" w:eastAsia="宋体"/>
                <w:b w:val="0"/>
                <w:sz w:val="18"/>
              </w:rPr>
              <w:t>修订</w:t>
            </w:r>
            <w:r>
              <w:rPr>
                <w:rFonts w:ascii="Times New Roman" w:hAnsi="Times New Roman" w:eastAsia="宋体"/>
                <w:b w:val="0"/>
                <w:sz w:val="18"/>
              </w:rPr>
              <w:t>，针对《建筑信息建模（BIM）技术应用》《工程与计量计价B》《RPA审计机器人》等实践性强的专业课开展专题讲座。2.指导实践与竞赛：指导学生开展毕业设计（论文）、工程造价与工程管理创新大赛、全国高校BIM设计等创新大赛，联合指导学生在企业真实情况下完成工程造价数据与审计合规实战项目。3.共建产教融合平台：推动所在单位（工程造价咨询企业、施工企业审计部或政府投资审计机构）与学院共建现代产业学院或联合实验室，接纳青年教师挂职锻</w:t>
            </w:r>
            <w:r>
              <w:rPr>
                <w:rFonts w:ascii="Times New Roman" w:hAnsi="Times New Roman" w:eastAsia="宋体"/>
                <w:b w:val="0"/>
                <w:sz w:val="18"/>
              </w:rPr>
              <w:t>炼</w:t>
            </w:r>
            <w:r>
              <w:rPr>
                <w:rFonts w:ascii="Times New Roman" w:hAnsi="Times New Roman" w:eastAsia="宋体"/>
                <w:b w:val="0"/>
                <w:sz w:val="18"/>
              </w:rPr>
              <w:t>及学生实习实训。4.推动产学研合作：联合申报横向课题及教改项目，在数字化审计转型、工程审计风险</w:t>
            </w:r>
            <w:r>
              <w:rPr>
                <w:rFonts w:ascii="Times New Roman" w:hAnsi="Times New Roman" w:eastAsia="宋体"/>
                <w:b w:val="0"/>
                <w:sz w:val="18"/>
              </w:rPr>
              <w:t>防</w:t>
            </w:r>
            <w:r>
              <w:rPr>
                <w:rFonts w:ascii="Times New Roman" w:hAnsi="Times New Roman" w:eastAsia="宋体"/>
                <w:b w:val="0"/>
                <w:sz w:val="18"/>
              </w:rPr>
              <w:t>控或全过程造价管控等领域开展合作，促进科研成果落地转化。5.拓宽就业渠道：发挥行业资源优势，推荐合作高</w:t>
            </w:r>
            <w:r>
              <w:rPr>
                <w:rFonts w:ascii="Times New Roman" w:hAnsi="Times New Roman" w:eastAsia="宋体"/>
                <w:b w:val="0"/>
                <w:sz w:val="18"/>
              </w:rPr>
              <w:t>校</w:t>
            </w:r>
            <w:r>
              <w:rPr>
                <w:rFonts w:ascii="Times New Roman" w:hAnsi="Times New Roman" w:eastAsia="宋体"/>
                <w:b w:val="0"/>
                <w:sz w:val="18"/>
              </w:rPr>
              <w:t>毕业生到所</w:t>
            </w:r>
            <w:r>
              <w:rPr>
                <w:rFonts w:ascii="Times New Roman" w:hAnsi="Times New Roman" w:eastAsia="宋体"/>
                <w:b w:val="0"/>
                <w:sz w:val="18"/>
              </w:rPr>
              <w:t>在</w:t>
            </w:r>
            <w:r>
              <w:rPr>
                <w:rFonts w:ascii="Times New Roman" w:hAnsi="Times New Roman" w:eastAsia="宋体"/>
                <w:b w:val="0"/>
                <w:sz w:val="18"/>
              </w:rPr>
              <w:t>单位或产业链上下游企业就业，协助开展就业指导和职业生涯规划。</w:t>
            </w:r>
          </w:p>
        </w:tc>
        <w:tc>
          <w:tcPr>
            <w:tcW w:type="dxa" w:w="5669"/>
            <w:vAlign w:val="center"/>
          </w:tcPr>
          <w:p>
            <w:pPr>
              <w:spacing w:before="20" w:after="20" w:line="240" w:lineRule="auto"/>
              <w:jc w:val="both"/>
            </w:pPr>
            <w:r/>
            <w:r>
              <w:rPr>
                <w:rFonts w:ascii="Times New Roman" w:hAnsi="Times New Roman" w:eastAsia="宋体"/>
                <w:b w:val="0"/>
                <w:sz w:val="18"/>
              </w:rPr>
              <w:t>1.行业背景：优先考虑来自工程造价咨询甲级资质企业、大型会计师事务所（工程审计部）或政府投资审计机构，江西省“1269”行动</w:t>
            </w:r>
            <w:r>
              <w:rPr>
                <w:rFonts w:ascii="Times New Roman" w:hAnsi="Times New Roman" w:eastAsia="宋体"/>
                <w:b w:val="0"/>
                <w:sz w:val="18"/>
              </w:rPr>
              <w:t>计划</w:t>
            </w:r>
            <w:r>
              <w:rPr>
                <w:rFonts w:ascii="Times New Roman" w:hAnsi="Times New Roman" w:eastAsia="宋体"/>
                <w:b w:val="0"/>
                <w:sz w:val="18"/>
              </w:rPr>
              <w:t>中的重点产业链相关规模以上企业、上市公司、大型工程机构的应聘者。2.职务与资质：原则上为上述单位的高层管理人员（如工程造价咨询企业副总经理、施工企业审计部负责人或政府审计机构中层以上管理</w:t>
            </w:r>
            <w:r>
              <w:rPr>
                <w:rFonts w:ascii="Times New Roman" w:hAnsi="Times New Roman" w:eastAsia="宋体"/>
                <w:b w:val="0"/>
                <w:sz w:val="18"/>
              </w:rPr>
              <w:t>人员</w:t>
            </w:r>
            <w:r>
              <w:rPr>
                <w:rFonts w:ascii="Times New Roman" w:hAnsi="Times New Roman" w:eastAsia="宋体"/>
                <w:b w:val="0"/>
                <w:sz w:val="18"/>
              </w:rPr>
              <w:t>）；具有高级职称，或持有注册造价工程师、一级建造师</w:t>
            </w:r>
            <w:r>
              <w:rPr>
                <w:rFonts w:ascii="Times New Roman" w:hAnsi="Times New Roman" w:eastAsia="宋体"/>
                <w:b w:val="0"/>
                <w:sz w:val="18"/>
              </w:rPr>
              <w:t>等</w:t>
            </w:r>
            <w:r>
              <w:rPr>
                <w:rFonts w:ascii="Times New Roman" w:hAnsi="Times New Roman" w:eastAsia="宋体"/>
                <w:b w:val="0"/>
                <w:sz w:val="18"/>
              </w:rPr>
              <w:t>与工程审计直接相关的高级执业资格；</w:t>
            </w:r>
            <w:r>
              <w:rPr>
                <w:rFonts w:ascii="Times New Roman" w:hAnsi="Times New Roman" w:eastAsia="宋体"/>
                <w:b w:val="0"/>
                <w:sz w:val="18"/>
              </w:rPr>
              <w:t>具有</w:t>
            </w:r>
            <w:r>
              <w:rPr>
                <w:rFonts w:ascii="Times New Roman" w:hAnsi="Times New Roman" w:eastAsia="宋体"/>
                <w:b w:val="0"/>
                <w:sz w:val="18"/>
              </w:rPr>
              <w:t>省级以上行业组织</w:t>
            </w:r>
            <w:r>
              <w:rPr>
                <w:rFonts w:ascii="Times New Roman" w:hAnsi="Times New Roman" w:eastAsia="宋体"/>
                <w:b w:val="0"/>
                <w:sz w:val="18"/>
              </w:rPr>
              <w:t>任职经历者优先</w:t>
            </w:r>
            <w:r>
              <w:rPr>
                <w:rFonts w:ascii="Times New Roman" w:hAnsi="Times New Roman" w:eastAsia="宋体"/>
                <w:b w:val="0"/>
                <w:sz w:val="18"/>
              </w:rPr>
              <w:t>。3.专业能力：熟练运用广联达、BIM建模工具或审计作业系统，具备将数智化审计应用</w:t>
            </w:r>
            <w:r>
              <w:rPr>
                <w:rFonts w:ascii="Times New Roman" w:hAnsi="Times New Roman" w:eastAsia="宋体"/>
                <w:b w:val="0"/>
                <w:sz w:val="18"/>
              </w:rPr>
              <w:t>于</w:t>
            </w:r>
            <w:r>
              <w:rPr>
                <w:rFonts w:ascii="Times New Roman" w:hAnsi="Times New Roman" w:eastAsia="宋体"/>
                <w:b w:val="0"/>
                <w:sz w:val="18"/>
              </w:rPr>
              <w:t>教学</w:t>
            </w:r>
            <w:r>
              <w:rPr>
                <w:rFonts w:ascii="Times New Roman" w:hAnsi="Times New Roman" w:eastAsia="宋体"/>
                <w:b w:val="0"/>
                <w:sz w:val="18"/>
              </w:rPr>
              <w:t>的能力</w:t>
            </w:r>
            <w:r>
              <w:rPr>
                <w:rFonts w:ascii="Times New Roman" w:hAnsi="Times New Roman" w:eastAsia="宋体"/>
                <w:b w:val="0"/>
                <w:sz w:val="18"/>
              </w:rPr>
              <w:t>。</w:t>
            </w:r>
          </w:p>
        </w:tc>
      </w:tr>
      <w:tr>
        <w:trPr>
          <w:cantSplit w:val="true"/>
        </w:trPr>
        <w:tc>
          <w:tcPr>
            <w:tcW w:type="dxa" w:w="680"/>
            <w:vAlign w:val="center"/>
          </w:tcPr>
          <w:p>
            <w:pPr>
              <w:spacing w:before="20" w:after="20" w:line="240" w:lineRule="auto"/>
              <w:jc w:val="center"/>
            </w:pPr>
            <w:r/>
            <w:r>
              <w:rPr>
                <w:rFonts w:ascii="Times New Roman" w:hAnsi="Times New Roman" w:eastAsia="宋体"/>
                <w:b w:val="0"/>
                <w:sz w:val="18"/>
              </w:rPr>
              <w:t>7</w:t>
            </w:r>
          </w:p>
        </w:tc>
        <w:tc>
          <w:tcPr>
            <w:tcW w:type="dxa" w:w="1814"/>
            <w:vAlign w:val="center"/>
          </w:tcPr>
          <w:p>
            <w:pPr>
              <w:spacing w:before="20" w:after="20" w:line="240" w:lineRule="auto"/>
              <w:jc w:val="center"/>
            </w:pPr>
            <w:r/>
            <w:r>
              <w:rPr>
                <w:rFonts w:ascii="Times New Roman" w:hAnsi="Times New Roman" w:eastAsia="宋体"/>
                <w:b w:val="0"/>
                <w:sz w:val="18"/>
              </w:rPr>
              <w:t>会计学（注册会计师）</w:t>
            </w:r>
          </w:p>
        </w:tc>
        <w:tc>
          <w:tcPr>
            <w:tcW w:type="dxa" w:w="1134"/>
            <w:vAlign w:val="center"/>
          </w:tcPr>
          <w:p>
            <w:pPr>
              <w:spacing w:before="20" w:after="20" w:line="240" w:lineRule="auto"/>
              <w:jc w:val="center"/>
            </w:pPr>
            <w:r/>
            <w:r>
              <w:rPr>
                <w:rFonts w:ascii="Times New Roman" w:hAnsi="Times New Roman" w:eastAsia="宋体"/>
                <w:b w:val="0"/>
                <w:sz w:val="18"/>
              </w:rPr>
              <w:t>2</w:t>
            </w:r>
          </w:p>
        </w:tc>
        <w:tc>
          <w:tcPr>
            <w:tcW w:type="dxa" w:w="5669"/>
            <w:vAlign w:val="center"/>
          </w:tcPr>
          <w:p>
            <w:pPr>
              <w:spacing w:before="20" w:after="20" w:line="240" w:lineRule="auto"/>
              <w:jc w:val="both"/>
            </w:pPr>
            <w:r/>
            <w:r>
              <w:rPr>
                <w:rFonts w:ascii="Times New Roman" w:hAnsi="Times New Roman" w:eastAsia="宋体"/>
                <w:b w:val="0"/>
                <w:sz w:val="18"/>
              </w:rPr>
              <w:t>1.深度参与</w:t>
            </w:r>
            <w:r>
              <w:rPr>
                <w:rFonts w:ascii="Times New Roman" w:hAnsi="Times New Roman" w:eastAsia="宋体"/>
                <w:b w:val="0"/>
                <w:sz w:val="18"/>
              </w:rPr>
              <w:t>学院</w:t>
            </w:r>
            <w:r>
              <w:rPr>
                <w:rFonts w:ascii="Times New Roman" w:hAnsi="Times New Roman" w:eastAsia="宋体"/>
                <w:b w:val="0"/>
                <w:sz w:val="18"/>
              </w:rPr>
              <w:t>注册会计师专业人才培养与教学工作，指导青年教师提升实务教学能力，指导学生开展审计、财会生产实践，指导学生参加财会类学科竞赛、创新创业项目、毕业设计（论文），分享注册会计师执业实战经验。2.推动所在会计师事务所、企事业单位成为</w:t>
            </w:r>
            <w:r>
              <w:rPr>
                <w:rFonts w:ascii="Times New Roman" w:hAnsi="Times New Roman" w:eastAsia="宋体"/>
                <w:b w:val="0"/>
                <w:sz w:val="18"/>
              </w:rPr>
              <w:t>学院</w:t>
            </w:r>
            <w:r>
              <w:rPr>
                <w:rFonts w:ascii="Times New Roman" w:hAnsi="Times New Roman" w:eastAsia="宋体"/>
                <w:b w:val="0"/>
                <w:sz w:val="18"/>
              </w:rPr>
              <w:t>产教融合实习实训、实践教学基地，牵头开设企业实景课堂、专项实训项目；挖掘岗位资源，积极推荐合作高校毕业生到所在单位及行业合作机构就业，助力学生高质量就业。3.搭建注册会计师行业、会计师事务所、企事业单位财务部门与</w:t>
            </w:r>
            <w:r>
              <w:rPr>
                <w:rFonts w:ascii="Times New Roman" w:hAnsi="Times New Roman" w:eastAsia="宋体"/>
                <w:b w:val="0"/>
                <w:sz w:val="18"/>
              </w:rPr>
              <w:t>学院</w:t>
            </w:r>
            <w:r>
              <w:rPr>
                <w:rFonts w:ascii="Times New Roman" w:hAnsi="Times New Roman" w:eastAsia="宋体"/>
                <w:b w:val="0"/>
                <w:sz w:val="18"/>
              </w:rPr>
              <w:t>的对接桥梁，联合</w:t>
            </w:r>
            <w:r>
              <w:rPr>
                <w:rFonts w:ascii="Times New Roman" w:hAnsi="Times New Roman" w:eastAsia="宋体"/>
                <w:b w:val="0"/>
                <w:sz w:val="18"/>
              </w:rPr>
              <w:t>学院</w:t>
            </w:r>
            <w:r>
              <w:rPr>
                <w:rFonts w:ascii="Times New Roman" w:hAnsi="Times New Roman" w:eastAsia="宋体"/>
                <w:b w:val="0"/>
                <w:sz w:val="18"/>
              </w:rPr>
              <w:t>开展横向课题申报、活页式实务教材开发、审计案例库建设、科学研究、管理咨询服务、科研成果转化，把行业前沿实务问题转化为教学科研选题。4.开展注册会计师职业素养、职业道德、执业风险等专题讲座。对接注册会计师行业改革、财税政策更新动态，把新准则、新财税法规、数字化审计改革内容融入教学，助力专业紧跟行业发展。</w:t>
            </w:r>
          </w:p>
        </w:tc>
        <w:tc>
          <w:tcPr>
            <w:tcW w:type="dxa" w:w="5669"/>
            <w:vAlign w:val="center"/>
          </w:tcPr>
          <w:p>
            <w:pPr>
              <w:spacing w:before="20" w:after="20" w:line="240" w:lineRule="auto"/>
              <w:jc w:val="both"/>
            </w:pPr>
            <w:r/>
            <w:r>
              <w:rPr>
                <w:rFonts w:ascii="Times New Roman" w:hAnsi="Times New Roman" w:eastAsia="宋体"/>
                <w:b w:val="0"/>
                <w:sz w:val="18"/>
              </w:rPr>
              <w:t>面向注册会计师领域，选聘大型会计师事务所、大中型国企上市公司财务审计部门、头部财税咨询机构的合伙人、部门负责人、高级业务技术骨干等中高层管理与实务专家。原则上应具有拟聘任相关学科本科及以上学位，具备注册会计师执业资格，拥有高级职称或者多年一线审计、财务管理实务与团队管理经验；熟练掌握大数据审计、智能财税、内控风控、资本市场财务规范、企业并购重组审计等实务业务，熟悉企业会计准则、审计准则及国家最新财税监管政策；了解财会数字化转型发展趋势，能够将行业真实项目、执业案例转化为教学资源；具备较强的行业资源统筹、沟通协同能力，恪守注册会计师职业道德，身心健康，能够投入足够的时间与精力承担产业教授各项教学、产教融合工作。</w:t>
            </w:r>
          </w:p>
        </w:tc>
      </w:tr>
      <w:tr>
        <w:trPr>
          <w:cantSplit w:val="true"/>
        </w:trPr>
        <w:tc>
          <w:tcPr>
            <w:tcW w:type="dxa" w:w="680"/>
            <w:vAlign w:val="center"/>
          </w:tcPr>
          <w:p>
            <w:pPr>
              <w:spacing w:before="20" w:after="20" w:line="240" w:lineRule="auto"/>
              <w:jc w:val="center"/>
            </w:pPr>
            <w:r/>
            <w:r>
              <w:rPr>
                <w:rFonts w:ascii="Times New Roman" w:hAnsi="Times New Roman" w:eastAsia="宋体"/>
                <w:b w:val="0"/>
                <w:sz w:val="18"/>
              </w:rPr>
              <w:t>8</w:t>
            </w:r>
          </w:p>
        </w:tc>
        <w:tc>
          <w:tcPr>
            <w:tcW w:type="dxa" w:w="1814"/>
            <w:vAlign w:val="center"/>
          </w:tcPr>
          <w:p>
            <w:pPr>
              <w:spacing w:before="20" w:after="20" w:line="240" w:lineRule="auto"/>
              <w:jc w:val="center"/>
            </w:pPr>
            <w:r/>
            <w:r>
              <w:rPr>
                <w:rFonts w:ascii="Times New Roman" w:hAnsi="Times New Roman" w:eastAsia="宋体"/>
                <w:b w:val="0"/>
                <w:sz w:val="18"/>
              </w:rPr>
              <w:t>会计学</w:t>
            </w:r>
          </w:p>
        </w:tc>
        <w:tc>
          <w:tcPr>
            <w:tcW w:type="dxa" w:w="1134"/>
            <w:vAlign w:val="center"/>
          </w:tcPr>
          <w:p>
            <w:pPr>
              <w:spacing w:before="20" w:after="20" w:line="240" w:lineRule="auto"/>
              <w:jc w:val="center"/>
            </w:pPr>
            <w:r/>
            <w:r>
              <w:rPr>
                <w:rFonts w:ascii="Times New Roman" w:hAnsi="Times New Roman" w:eastAsia="宋体"/>
                <w:b w:val="0"/>
                <w:sz w:val="18"/>
              </w:rPr>
              <w:t>2</w:t>
            </w:r>
          </w:p>
        </w:tc>
        <w:tc>
          <w:tcPr>
            <w:tcW w:type="dxa" w:w="5669"/>
            <w:vAlign w:val="center"/>
          </w:tcPr>
          <w:p>
            <w:pPr>
              <w:spacing w:before="20" w:after="20" w:line="240" w:lineRule="auto"/>
              <w:jc w:val="both"/>
            </w:pPr>
            <w:r/>
            <w:r>
              <w:rPr>
                <w:rFonts w:ascii="Times New Roman" w:hAnsi="Times New Roman" w:eastAsia="宋体"/>
                <w:b w:val="0"/>
                <w:sz w:val="18"/>
              </w:rPr>
              <w:t>1.深度参与人才培养：参与会计学专业培养方案修订，针对《高级财务会计》《审计学》《智能会计》《内部控制与风险管理》等实践性强的课程开展专题讲座，将行业前沿准则与实务案例引入课堂。2.指导实践与竞赛：指导学生开展毕业设计（论文）、会计、审计综合实训及“互联网+”等创新创业大赛，联合指导学生在企业真实场景下完成智能财务核算、审计数据分析与业财融合实战项目。3.共建产教融合平台：推动所在单位（如会计师事务所、大型企业财务共享服务中心、财税咨询机构）与学院共建现代产业学院或联合实验室，接纳青年教师挂职锻炼及学生实习实训。4.推动产学研合作：联合申报横向课题或教改项目，在智能财务转型、审计数字化、ESG信息披露、企业内部控制体系建设等领域开展合作，促进科研成果落地转化。5.拓宽就业渠道：发挥行业资源优势，推荐合作高校优秀毕业生到所在单位或产业链上下游企业就业，协助开展就业指导和职业生涯规划。</w:t>
            </w:r>
          </w:p>
        </w:tc>
        <w:tc>
          <w:tcPr>
            <w:tcW w:type="dxa" w:w="5669"/>
            <w:vAlign w:val="center"/>
          </w:tcPr>
          <w:p>
            <w:pPr>
              <w:spacing w:before="20" w:after="20" w:line="240" w:lineRule="auto"/>
              <w:jc w:val="both"/>
            </w:pPr>
            <w:r/>
            <w:r>
              <w:rPr>
                <w:rFonts w:ascii="Times New Roman" w:hAnsi="Times New Roman" w:eastAsia="宋体"/>
                <w:b w:val="0"/>
                <w:sz w:val="18"/>
              </w:rPr>
              <w:t>1.行业背景：优先考虑来自江西省“1269”行动计划重点产业链（如电子信息、新能源、装备制造、生物医药等）相关的规模以上企业、上市公司、大型会计师事务所或知名财税咨询机构的应聘者。2.职务与资质：原则上为上述单位的高层管理人员（如财务总监、总会计师、审计合伙人、税务合伙人）或财务、审计数字化负责人；具有高级会计师、高级审计师、注册会计师（CPA）、税务师（CTA）或省级以上高端会计人才称号者优先。3.专业能力：精通企业会计准则应用、审计实务、税务筹划与合规、内部控制体系建设或财务数字化转型；熟悉大数据审计分析、RPA财务机器人、财务共享服务（FSSC）、业财一体化等智能工具在实务中的应用场景，具备丰富的校企合作经验或产教融合项目经历。4.合作基础：与江西财经大学现代经济管理学院在“政产学研金介用”方面有良好合作基础，或所在单位已与学院建立实习基地、联合实验室等平台者优先考虑。</w:t>
            </w:r>
          </w:p>
        </w:tc>
      </w:tr>
    </w:tbl>
    <w:p>
      <w:pPr>
        <w:spacing w:before="80"/>
      </w:pPr>
      <w:r>
        <w:rPr>
          <w:rFonts w:ascii="Times New Roman" w:hAnsi="Times New Roman" w:eastAsia="宋体"/>
          <w:b w:val="0"/>
          <w:sz w:val="18"/>
        </w:rPr>
        <w:t>注：“岗位名称”原则上与本校招生专业表述一致。合计聘任14人。</w:t>
      </w:r>
    </w:p>
    <w:sectPr w:rsidR="00FC693F" w:rsidRPr="0006063C" w:rsidSect="00034616">
      <w:pgSz w:w="16838" w:h="11906" w:orient="landscape"/>
      <w:pgMar w:top="1020"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