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2F965D">
      <w:pPr>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附件2</w:t>
      </w:r>
    </w:p>
    <w:p w14:paraId="5C22A738">
      <w:pPr>
        <w:jc w:val="center"/>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cs="方正小标宋简体"/>
          <w:sz w:val="44"/>
          <w:szCs w:val="44"/>
          <w:highlight w:val="none"/>
          <w:lang w:val="en-US" w:eastAsia="zh-CN"/>
        </w:rPr>
        <w:t>各招聘</w:t>
      </w:r>
      <w:r>
        <w:rPr>
          <w:rFonts w:hint="default" w:ascii="方正小标宋简体" w:hAnsi="方正小标宋简体" w:eastAsia="方正小标宋简体" w:cs="方正小标宋简体"/>
          <w:sz w:val="44"/>
          <w:szCs w:val="44"/>
          <w:highlight w:val="none"/>
          <w:lang w:eastAsia="zh-CN"/>
          <w:woUserID w:val="1"/>
        </w:rPr>
        <w:t>企业</w:t>
      </w:r>
      <w:r>
        <w:rPr>
          <w:rFonts w:hint="eastAsia" w:ascii="方正小标宋简体" w:hAnsi="方正小标宋简体" w:eastAsia="方正小标宋简体" w:cs="方正小标宋简体"/>
          <w:sz w:val="44"/>
          <w:szCs w:val="44"/>
          <w:highlight w:val="none"/>
        </w:rPr>
        <w:t>介绍</w:t>
      </w:r>
    </w:p>
    <w:p w14:paraId="0664988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auto"/>
          <w:sz w:val="32"/>
          <w:szCs w:val="32"/>
          <w:highlight w:val="none"/>
          <w:shd w:val="clear" w:color="auto" w:fill="auto"/>
          <w:lang w:val="en-US" w:eastAsia="zh-CN"/>
        </w:rPr>
        <w:t>1.台州市城市建设投资发展集团有限公司</w:t>
      </w:r>
      <w:r>
        <w:rPr>
          <w:rFonts w:hint="default" w:ascii="仿宋_GB2312" w:hAnsi="仿宋_GB2312" w:eastAsia="仿宋_GB2312" w:cs="仿宋_GB2312"/>
          <w:b w:val="0"/>
          <w:bCs w:val="0"/>
          <w:color w:val="auto"/>
          <w:sz w:val="32"/>
          <w:szCs w:val="32"/>
          <w:highlight w:val="none"/>
          <w:shd w:val="clear" w:color="auto" w:fill="auto"/>
          <w:lang w:val="en-US" w:eastAsia="zh-CN"/>
        </w:rPr>
        <w:t>是台州市政府直属资产规模最大的国有企业，于2019年3月20日正式挂牌，由原台州市基础设施建设投资集团有限公司、台州市城市建</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设投资集团有限公司等优化整合而</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成。</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集团</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以“台州城市开发运营综合服务商”为定位目标，聚焦重点片区开发、产城融合发展、城市民生服务为3大主攻方向，积极构建以“城市开发运营”为核心主业，“产融投资”和“数智科技”为两翼协同的“1+2”产业</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发展格局。</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集团总资产约5</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亿元，拥有国内AAA、国际BBB主体信用等级。2025年营收</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62.67</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亿元，市场化利润总额3.</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亿元；实现从单一承担政府基建任务的平台公司向深度参与城市建设与产业运营的实体化、市场化国企转型。集团企业文化颇具特色，形成“红城“党建品牌，党建阵地入选台州市党史学习教育基地及台州市首批新时代基层党员教育培训示范基地；集团获评全国优秀女职工阅读组织、浙江省文明单位、浙江省“五四”红旗团委、台州市文明单位。</w:t>
      </w:r>
    </w:p>
    <w:p w14:paraId="4155580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val="0"/>
          <w:color w:val="0D0D0D"/>
          <w:spacing w:val="0"/>
          <w:sz w:val="32"/>
          <w:szCs w:val="32"/>
          <w:shd w:val="clear" w:color="auto" w:fill="auto"/>
          <w:lang w:val="en-US" w:eastAsia="zh-CN" w:bidi="ar-SA"/>
        </w:rPr>
      </w:pPr>
      <w:r>
        <w:rPr>
          <w:rFonts w:hint="default" w:ascii="Times New Roman" w:hAnsi="Times New Roman" w:eastAsia="仿宋_GB2312" w:cs="Times New Roman"/>
          <w:b/>
          <w:bCs/>
          <w:sz w:val="32"/>
          <w:szCs w:val="32"/>
          <w:lang w:val="en-US" w:eastAsia="zh-CN"/>
        </w:rPr>
        <w:t>台州市数字集团有限公司</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b w:val="0"/>
          <w:bCs/>
          <w:color w:val="0D0D0D"/>
          <w:spacing w:val="0"/>
          <w:sz w:val="32"/>
          <w:szCs w:val="32"/>
          <w:shd w:val="clear" w:color="auto" w:fill="auto"/>
          <w:lang w:val="en-US" w:eastAsia="zh-CN" w:bidi="ar-SA"/>
        </w:rPr>
        <w:t>台州市城市投资建设发展集团有限公司所属一级全资子公司，</w:t>
      </w:r>
      <w:r>
        <w:rPr>
          <w:rFonts w:hint="eastAsia" w:ascii="仿宋_GB2312" w:hAnsi="仿宋_GB2312" w:eastAsia="仿宋_GB2312" w:cs="仿宋_GB2312"/>
          <w:sz w:val="32"/>
          <w:szCs w:val="32"/>
          <w:lang w:val="en-US" w:eastAsia="zh-CN"/>
        </w:rPr>
        <w:t>成立于2020年10月15日，2024年9月26日完成集团化重组，下设4家子公司、代管2家公司。公司锚定台州市数字产业链主型企业的核心目标，立足“人工智能基础设施的供给者、数据要素价值化的运营者、数字安全可信的护航者、数字经济产业生态的构建者”四大定位，重点布局人工智能基础设施、数据要素运营、“AI+”场景应用、数字安全可信等核心领域，全力助推台州市“人工智能+”建设，赋能传统产业数智化升级。公司依托中国（台州）数智港，构建算力调度中心、数据要素运营交易中心、人工智能创新服务中心“一港三中心”一体化平台体系，以“算数资源+运营服务+场景应用”为导向，统筹全市算力、数据、AI创新资源集聚发展，打造算数产业创新生态圈，推动数字企业成群结链落地发展。</w:t>
      </w:r>
    </w:p>
    <w:p w14:paraId="74238EF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val="0"/>
          <w:bCs/>
          <w:color w:val="0D0D0D"/>
          <w:spacing w:val="0"/>
          <w:sz w:val="32"/>
          <w:szCs w:val="32"/>
          <w:shd w:val="clear" w:color="auto" w:fill="auto"/>
          <w:lang w:val="en-US" w:eastAsia="zh-CN" w:bidi="ar-SA"/>
        </w:rPr>
      </w:pPr>
      <w:r>
        <w:rPr>
          <w:rFonts w:hint="eastAsia" w:ascii="仿宋_GB2312" w:hAnsi="仿宋_GB2312" w:eastAsia="仿宋_GB2312" w:cs="仿宋_GB2312"/>
          <w:b/>
          <w:bCs w:val="0"/>
          <w:color w:val="0D0D0D"/>
          <w:spacing w:val="0"/>
          <w:sz w:val="32"/>
          <w:szCs w:val="32"/>
          <w:shd w:val="clear" w:color="auto" w:fill="auto"/>
          <w:lang w:val="en-US" w:eastAsia="zh-CN" w:bidi="ar-SA"/>
        </w:rPr>
        <w:t>台州市农副产品集配中心有限公司</w:t>
      </w:r>
      <w:r>
        <w:rPr>
          <w:rFonts w:hint="eastAsia" w:ascii="仿宋_GB2312" w:hAnsi="仿宋_GB2312" w:eastAsia="仿宋_GB2312" w:cs="仿宋_GB2312"/>
          <w:b w:val="0"/>
          <w:bCs/>
          <w:color w:val="0D0D0D"/>
          <w:spacing w:val="0"/>
          <w:sz w:val="32"/>
          <w:szCs w:val="32"/>
          <w:shd w:val="clear" w:color="auto" w:fill="auto"/>
          <w:lang w:val="en-US" w:eastAsia="zh-CN" w:bidi="ar-SA"/>
        </w:rPr>
        <w:t>成立于2010年5月，为台州市城市投资建设发展集团有限公司所属一级控股子公司。公司秉承“食为人天、农为正本”的企业宗旨，以“农港城”为品牌，投建中国·农港城农副产品批发市场，是台州市“菜篮子”民生工程，总占地278亩，总建筑面积约36.3万㎡，项目分两期建设，涵盖“蔬菜、水果、副食品、粮油、禽蛋、肉类、冻品、水产、菌菇、厨具酒店用品”十大市场于一体，配备3万吨级冷库，引进智慧停车、智慧过磅等系统，是台州市“菜篮子”民生工程，打造浙东南农副产品“全品类一站式”采购中心。公司先后荣膺“全国总社公益性农产品示范市场、农业农村部定点市场、浙江省四星级文明规范专业市场、浙江省级骨干农业龙头企业、浙江省公益性农产品市场、浙江省重点流通企业、2023年度全国农产品批发市场行业百强市场、台州市模范集体”等荣誉称号，并通过2024年度浙江省食用农产品批发市场食品安全体系合规指导（AAA级标准）。</w:t>
      </w:r>
    </w:p>
    <w:p w14:paraId="365B2125">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Times New Roman" w:hAnsi="Times New Roman" w:eastAsia="仿宋_GB2312" w:cs="Times New Roman"/>
          <w:i w:val="0"/>
          <w:caps w:val="0"/>
          <w:color w:val="auto"/>
          <w:spacing w:val="0"/>
          <w:sz w:val="32"/>
          <w:szCs w:val="32"/>
          <w:highlight w:val="none"/>
          <w:shd w:val="clear" w:color="auto" w:fill="auto"/>
        </w:rPr>
      </w:pPr>
      <w:r>
        <w:rPr>
          <w:rFonts w:hint="default" w:ascii="Times New Roman" w:hAnsi="Times New Roman" w:eastAsia="宋体" w:cs="Times New Roman"/>
          <w:sz w:val="24"/>
          <w:szCs w:val="24"/>
        </w:rPr>
        <w:drawing>
          <wp:inline distT="0" distB="0" distL="114300" distR="114300">
            <wp:extent cx="1609090" cy="1609090"/>
            <wp:effectExtent l="0" t="0" r="3810" b="381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1609090" cy="1609090"/>
                    </a:xfrm>
                    <a:prstGeom prst="rect">
                      <a:avLst/>
                    </a:prstGeom>
                    <a:noFill/>
                    <a:ln w="9525">
                      <a:noFill/>
                    </a:ln>
                  </pic:spPr>
                </pic:pic>
              </a:graphicData>
            </a:graphic>
          </wp:inline>
        </w:drawing>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eastAsiaTheme="minorEastAsia"/>
          <w:lang w:eastAsia="zh-CN"/>
        </w:rPr>
        <w:drawing>
          <wp:inline distT="0" distB="0" distL="114300" distR="114300">
            <wp:extent cx="1598930" cy="1598930"/>
            <wp:effectExtent l="0" t="0" r="1270" b="1270"/>
            <wp:docPr id="2" name="图片 2" descr="qrcode_for_gh_233bcf31fe47_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rcode_for_gh_233bcf31fe47_860"/>
                    <pic:cNvPicPr>
                      <a:picLocks noChangeAspect="1"/>
                    </pic:cNvPicPr>
                  </pic:nvPicPr>
                  <pic:blipFill>
                    <a:blip r:embed="rId5"/>
                    <a:stretch>
                      <a:fillRect/>
                    </a:stretch>
                  </pic:blipFill>
                  <pic:spPr>
                    <a:xfrm>
                      <a:off x="0" y="0"/>
                      <a:ext cx="1598930" cy="1598930"/>
                    </a:xfrm>
                    <a:prstGeom prst="rect">
                      <a:avLst/>
                    </a:prstGeom>
                  </pic:spPr>
                </pic:pic>
              </a:graphicData>
            </a:graphic>
          </wp:inline>
        </w:drawing>
      </w:r>
      <w:r>
        <w:rPr>
          <w:rFonts w:hint="default" w:ascii="Times New Roman" w:hAnsi="Times New Roman" w:cs="Times New Roman"/>
          <w:lang w:val="en-US" w:eastAsia="zh-CN"/>
        </w:rPr>
        <w:t xml:space="preserve">   </w:t>
      </w:r>
      <w:r>
        <w:rPr>
          <w:rFonts w:hint="default" w:ascii="Times New Roman" w:hAnsi="Times New Roman" w:eastAsia="仿宋" w:cs="Times New Roman"/>
          <w:b/>
          <w:bCs w:val="0"/>
          <w:sz w:val="40"/>
          <w:szCs w:val="40"/>
          <w:lang w:val="en-US" w:eastAsia="zh-CN"/>
        </w:rPr>
        <w:drawing>
          <wp:inline distT="0" distB="0" distL="114300" distR="114300">
            <wp:extent cx="1610360" cy="1610360"/>
            <wp:effectExtent l="0" t="0" r="2540" b="2540"/>
            <wp:docPr id="8" name="图片 4" descr="1d60a14336e723af26fc102579709e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1d60a14336e723af26fc102579709e85"/>
                    <pic:cNvPicPr>
                      <a:picLocks noChangeAspect="1"/>
                    </pic:cNvPicPr>
                  </pic:nvPicPr>
                  <pic:blipFill>
                    <a:blip r:embed="rId6"/>
                    <a:stretch>
                      <a:fillRect/>
                    </a:stretch>
                  </pic:blipFill>
                  <pic:spPr>
                    <a:xfrm>
                      <a:off x="0" y="0"/>
                      <a:ext cx="1610360" cy="1610360"/>
                    </a:xfrm>
                    <a:prstGeom prst="rect">
                      <a:avLst/>
                    </a:prstGeom>
                    <a:noFill/>
                    <a:ln>
                      <a:noFill/>
                    </a:ln>
                  </pic:spPr>
                </pic:pic>
              </a:graphicData>
            </a:graphic>
          </wp:inline>
        </w:drawing>
      </w:r>
    </w:p>
    <w:p w14:paraId="159C466F">
      <w:pPr>
        <w:ind w:firstLine="211" w:firstLineChars="100"/>
        <w:jc w:val="both"/>
        <w:rPr>
          <w:rFonts w:hint="default" w:ascii="Times New Roman" w:hAnsi="Times New Roman" w:eastAsia="仿宋_GB2312" w:cs="Times New Roman"/>
          <w:b/>
          <w:bCs/>
          <w:i w:val="0"/>
          <w:caps w:val="0"/>
          <w:color w:val="auto"/>
          <w:spacing w:val="0"/>
          <w:sz w:val="21"/>
          <w:szCs w:val="21"/>
          <w:highlight w:val="none"/>
          <w:shd w:val="clear" w:color="auto" w:fill="auto"/>
          <w:lang w:val="en-US" w:eastAsia="zh-CN"/>
        </w:rPr>
      </w:pPr>
      <w:r>
        <w:rPr>
          <w:rFonts w:hint="default" w:ascii="Times New Roman" w:hAnsi="Times New Roman" w:eastAsia="仿宋_GB2312" w:cs="Times New Roman"/>
          <w:b/>
          <w:bCs/>
          <w:i w:val="0"/>
          <w:caps w:val="0"/>
          <w:color w:val="auto"/>
          <w:spacing w:val="0"/>
          <w:sz w:val="21"/>
          <w:szCs w:val="21"/>
          <w:highlight w:val="none"/>
          <w:shd w:val="clear" w:color="auto" w:fill="auto"/>
          <w:lang w:val="en-US" w:eastAsia="zh-CN"/>
        </w:rPr>
        <w:t>市城投集团微信公众号        市数字集团微信公众号        市农港城微信公众号</w:t>
      </w:r>
    </w:p>
    <w:p w14:paraId="4A7570E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shd w:val="clear" w:color="auto" w:fill="auto"/>
          <w:lang w:val="en-US" w:eastAsia="zh-CN"/>
        </w:rPr>
      </w:pPr>
    </w:p>
    <w:p w14:paraId="10C5BA55">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auto"/>
          <w:sz w:val="32"/>
          <w:szCs w:val="32"/>
          <w:highlight w:val="none"/>
          <w:shd w:val="clear" w:color="auto" w:fill="auto"/>
          <w:lang w:val="en-US" w:eastAsia="zh-CN"/>
        </w:rPr>
        <w:t>2.</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台州市交通投资集团有限公司</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成立于2016年5月，是台州市政府授权市国资委履行出资人监督责任的国有全资企业。2019年3月，按照市委市政府关于市属国有企业优化整合的统一部署，整合原市交投集团、轨道集团、机场公司、铁投公司作为集团全资子公司，并受托管理台州高速集团，沿海高速公司，形成新台州交通投资集团，整合后的新交投集团作为全市跨区域综合交通投融资主平台和交通建设主力军，主要承担综合交通基础设施的投资建设与运营管理以及相关产业投资开发，构建台州现代综合交通体系，保障国有资产保值增值。集团注册资本为10亿元，资产总额369.71亿元，主体信用评级为AAA。集团现有员工2364人，本部内设14个职能部门，所属（管理）企业24家，其中经营性子公司9家。集团在市级层面考核中连续三年荣获市级单位考核优秀。同时还荣获全市清廉建设先进集体、经济稳进提质先进集体、纳税百强企业等荣誉。</w:t>
      </w:r>
    </w:p>
    <w:p w14:paraId="3E1F681E">
      <w:pPr>
        <w:numPr>
          <w:ilvl w:val="0"/>
          <w:numId w:val="0"/>
        </w:numPr>
        <w:jc w:val="center"/>
        <w:rPr>
          <w:rFonts w:hint="eastAsia" w:ascii="仿宋_GB2312" w:hAnsi="仿宋_GB2312" w:eastAsia="仿宋_GB2312" w:cs="仿宋_GB2312"/>
          <w:i w:val="0"/>
          <w:caps w:val="0"/>
          <w:color w:val="auto"/>
          <w:spacing w:val="0"/>
          <w:sz w:val="32"/>
          <w:szCs w:val="32"/>
          <w:highlight w:val="none"/>
          <w:shd w:val="clear" w:color="auto" w:fill="auto"/>
        </w:rPr>
      </w:pPr>
      <w:r>
        <w:rPr>
          <w:rFonts w:hint="eastAsia" w:ascii="仿宋_GB2312" w:hAnsi="仿宋_GB2312" w:eastAsia="仿宋_GB2312" w:cs="仿宋_GB2312"/>
          <w:i w:val="0"/>
          <w:caps w:val="0"/>
          <w:color w:val="auto"/>
          <w:spacing w:val="0"/>
          <w:sz w:val="32"/>
          <w:szCs w:val="32"/>
          <w:highlight w:val="none"/>
          <w:shd w:val="clear" w:color="auto" w:fill="auto"/>
        </w:rPr>
        <w:drawing>
          <wp:inline distT="0" distB="0" distL="114300" distR="114300">
            <wp:extent cx="1816100" cy="1816100"/>
            <wp:effectExtent l="0" t="0" r="12700" b="1270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7"/>
                    <a:stretch>
                      <a:fillRect/>
                    </a:stretch>
                  </pic:blipFill>
                  <pic:spPr>
                    <a:xfrm>
                      <a:off x="0" y="0"/>
                      <a:ext cx="1816100" cy="1816100"/>
                    </a:xfrm>
                    <a:prstGeom prst="rect">
                      <a:avLst/>
                    </a:prstGeom>
                  </pic:spPr>
                </pic:pic>
              </a:graphicData>
            </a:graphic>
          </wp:inline>
        </w:drawing>
      </w:r>
    </w:p>
    <w:p w14:paraId="1869B0A2">
      <w:pPr>
        <w:jc w:val="center"/>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市交投集团微信公众号</w:t>
      </w:r>
    </w:p>
    <w:p w14:paraId="1DE50798">
      <w:pPr>
        <w:keepNext w:val="0"/>
        <w:keepLines w:val="0"/>
        <w:pageBreakBefore w:val="0"/>
        <w:widowControl w:val="0"/>
        <w:kinsoku/>
        <w:wordWrap/>
        <w:overflowPunct/>
        <w:topLinePunct w:val="0"/>
        <w:autoSpaceDE/>
        <w:autoSpaceDN/>
        <w:bidi w:val="0"/>
        <w:adjustRightInd/>
        <w:snapToGrid/>
        <w:spacing w:line="600" w:lineRule="exact"/>
        <w:ind w:firstLine="622" w:firstLineChars="200"/>
        <w:contextualSpacing/>
        <w:textAlignment w:val="auto"/>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pPr>
      <w:r>
        <w:rPr>
          <w:rFonts w:hint="default" w:ascii="Times New Roman" w:hAnsi="Times New Roman" w:eastAsia="仿宋_GB2312" w:cs="Times New Roman"/>
          <w:b/>
          <w:bCs/>
          <w:i w:val="0"/>
          <w:caps w:val="0"/>
          <w:color w:val="auto"/>
          <w:spacing w:val="0"/>
          <w:sz w:val="31"/>
          <w:szCs w:val="31"/>
          <w:highlight w:val="none"/>
          <w:shd w:val="clear" w:color="auto" w:fill="auto"/>
        </w:rPr>
        <w:t>台州市轨道交通建设开发有限公司</w:t>
      </w:r>
      <w:r>
        <w:rPr>
          <w:rFonts w:hint="default" w:ascii="Times New Roman" w:hAnsi="Times New Roman" w:eastAsia="仿宋_GB2312" w:cs="Times New Roman"/>
          <w:i w:val="0"/>
          <w:caps w:val="0"/>
          <w:color w:val="auto"/>
          <w:spacing w:val="0"/>
          <w:sz w:val="31"/>
          <w:szCs w:val="31"/>
          <w:highlight w:val="none"/>
          <w:shd w:val="clear" w:color="auto" w:fill="auto"/>
        </w:rPr>
        <w:t>成立于2015年1月，主要承担市域铁路项目前期、建设、投融资、运营管理及沿线资源开发等职责，现为台州市域铁路S1线的监管单位及台州市域铁路S2线的建设单位，公司下设综合管理部、总工办、工程管理部、机电设备部（运营管理部）、计量成本部、安全管理部等部门。</w:t>
      </w:r>
    </w:p>
    <w:p w14:paraId="3F1BA75D">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b/>
          <w:bCs/>
          <w:color w:val="auto"/>
          <w:sz w:val="32"/>
          <w:szCs w:val="32"/>
          <w:highlight w:val="none"/>
          <w:shd w:val="clear" w:color="auto" w:fill="auto"/>
          <w:lang w:val="en-US" w:eastAsia="zh-CN"/>
        </w:rPr>
      </w:pPr>
    </w:p>
    <w:p w14:paraId="05F0918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t>3.台州市科创投资集团有限公司</w:t>
      </w:r>
      <w:r>
        <w:rPr>
          <w:rFonts w:hint="eastAsia" w:ascii="仿宋_GB2312" w:hAnsi="仿宋_GB2312" w:eastAsia="仿宋_GB2312" w:cs="仿宋_GB2312"/>
          <w:sz w:val="32"/>
          <w:szCs w:val="32"/>
          <w:lang w:val="en-US" w:eastAsia="zh-CN"/>
        </w:rPr>
        <w:t>成立于2024年1月，由原台州金投集团和台州人才集团合并新设，</w:t>
      </w:r>
      <w:r>
        <w:rPr>
          <w:rFonts w:hint="eastAsia" w:ascii="仿宋_GB2312" w:hAnsi="仿宋_GB2312" w:eastAsia="仿宋_GB2312" w:cs="仿宋_GB2312"/>
          <w:sz w:val="32"/>
          <w:szCs w:val="32"/>
        </w:rPr>
        <w:t>是市国资委一级监管企业</w:t>
      </w:r>
      <w:r>
        <w:rPr>
          <w:rFonts w:hint="eastAsia" w:ascii="仿宋_GB2312" w:hAnsi="仿宋_GB2312" w:eastAsia="仿宋_GB2312" w:cs="仿宋_GB2312"/>
          <w:sz w:val="32"/>
          <w:szCs w:val="32"/>
          <w:lang w:val="en-US" w:eastAsia="zh-CN"/>
        </w:rPr>
        <w:t>，注册资本60亿元，资产总额超250亿元。</w:t>
      </w:r>
    </w:p>
    <w:p w14:paraId="6DBD997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auto"/>
          <w:spacing w:val="0"/>
          <w:kern w:val="2"/>
          <w:sz w:val="32"/>
          <w:szCs w:val="32"/>
          <w:highlight w:val="none"/>
          <w:lang w:val="en-US" w:eastAsia="zh-CN" w:bidi="ar-SA"/>
        </w:rPr>
      </w:pPr>
      <w:r>
        <w:rPr>
          <w:rFonts w:hint="eastAsia" w:ascii="仿宋_GB2312" w:hAnsi="仿宋_GB2312" w:eastAsia="仿宋_GB2312" w:cs="仿宋_GB2312"/>
          <w:sz w:val="32"/>
          <w:szCs w:val="32"/>
          <w:lang w:val="en-US" w:eastAsia="zh-CN"/>
        </w:rPr>
        <w:t>集团锚定台州创新强市、人才强市发展战略，坚持服务台州实体经济发展主线，以基金管理、产业投资、园区运营、人才服务、金融服务为主责，积极构建科创产业集群、科创金融集群、科创人才集群，着力推动五链融合，不断增强核心功能、提高核心竞争力，全力打造台州市科技创业创新主引擎，争创国内一流的科创投资企业。</w:t>
      </w:r>
    </w:p>
    <w:p w14:paraId="15F3C368">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eastAsia" w:ascii="Times New Roman" w:hAnsi="Times New Roman" w:eastAsia="仿宋_GB2312" w:cs="Times New Roman"/>
          <w:i w:val="0"/>
          <w:iCs w:val="0"/>
          <w:caps w:val="0"/>
          <w:color w:val="auto"/>
          <w:spacing w:val="0"/>
          <w:kern w:val="2"/>
          <w:sz w:val="32"/>
          <w:szCs w:val="32"/>
          <w:highlight w:val="none"/>
          <w:lang w:val="en-US" w:eastAsia="zh-CN" w:bidi="ar-SA"/>
        </w:rPr>
      </w:pPr>
      <w:r>
        <w:rPr>
          <w:rFonts w:hint="eastAsia" w:ascii="仿宋_GB2312" w:hAnsi="仿宋_GB2312" w:eastAsia="仿宋_GB2312" w:cs="仿宋_GB2312"/>
          <w:i w:val="0"/>
          <w:caps w:val="0"/>
          <w:color w:val="auto"/>
          <w:spacing w:val="0"/>
          <w:sz w:val="32"/>
          <w:szCs w:val="32"/>
          <w:highlight w:val="none"/>
          <w:shd w:val="clear" w:color="auto" w:fill="auto"/>
          <w:lang w:eastAsia="zh-CN"/>
        </w:rPr>
        <w:drawing>
          <wp:anchor distT="0" distB="0" distL="114300" distR="114300" simplePos="0" relativeHeight="251659264" behindDoc="0" locked="0" layoutInCell="1" allowOverlap="1">
            <wp:simplePos x="0" y="0"/>
            <wp:positionH relativeFrom="column">
              <wp:posOffset>1804035</wp:posOffset>
            </wp:positionH>
            <wp:positionV relativeFrom="paragraph">
              <wp:posOffset>84455</wp:posOffset>
            </wp:positionV>
            <wp:extent cx="1814195" cy="1814195"/>
            <wp:effectExtent l="0" t="0" r="14605" b="14605"/>
            <wp:wrapTopAndBottom/>
            <wp:docPr id="11" name="图片 11" descr="f26ea93b25ce134f08c6c2c7e1829e4b"/>
            <wp:cNvGraphicFramePr/>
            <a:graphic xmlns:a="http://schemas.openxmlformats.org/drawingml/2006/main">
              <a:graphicData uri="http://schemas.openxmlformats.org/drawingml/2006/picture">
                <pic:pic xmlns:pic="http://schemas.openxmlformats.org/drawingml/2006/picture">
                  <pic:nvPicPr>
                    <pic:cNvPr id="11" name="图片 11" descr="f26ea93b25ce134f08c6c2c7e1829e4b"/>
                    <pic:cNvPicPr/>
                  </pic:nvPicPr>
                  <pic:blipFill>
                    <a:blip r:embed="rId8"/>
                    <a:stretch>
                      <a:fillRect/>
                    </a:stretch>
                  </pic:blipFill>
                  <pic:spPr>
                    <a:xfrm>
                      <a:off x="0" y="0"/>
                      <a:ext cx="1814195" cy="1814195"/>
                    </a:xfrm>
                    <a:prstGeom prst="rect">
                      <a:avLst/>
                    </a:prstGeom>
                  </pic:spPr>
                </pic:pic>
              </a:graphicData>
            </a:graphic>
          </wp:anchor>
        </w:drawing>
      </w: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市科创集团微信公众号</w:t>
      </w:r>
    </w:p>
    <w:p w14:paraId="245F610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台州市金投租赁有限公司</w:t>
      </w:r>
      <w:r>
        <w:rPr>
          <w:rFonts w:hint="eastAsia" w:ascii="仿宋_GB2312" w:hAnsi="仿宋_GB2312" w:eastAsia="仿宋_GB2312" w:cs="仿宋_GB2312"/>
          <w:sz w:val="32"/>
          <w:szCs w:val="32"/>
          <w:lang w:val="en-US" w:eastAsia="zh-CN"/>
        </w:rPr>
        <w:t>成立于2015年4月，注册资本3.5亿元，系科创集团下属全资子公司。公司依托集团背景和平台，以“服务地方经济，支持实体产业”为经营宗旨，服务台州上市、拟上市、“专精特新”“高新技术”等企业，涵盖汽车零部件、医药化工、精密制造等多个行业。公司成立以来，通过不断创新经营模式，已形成本地化、差异化、特色化的金融服务模式。截至目前，公司年均走访企业1000家次，累计服务台州企业210余家，累计投放超160亿元，获评“浙江省先进基层党组织”，入选浙江省国资国企营商环境改革创新示范案例。</w:t>
      </w:r>
    </w:p>
    <w:p w14:paraId="78CDDFA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600" w:lineRule="exact"/>
        <w:ind w:left="0" w:right="0" w:firstLine="643" w:firstLineChars="200"/>
        <w:jc w:val="both"/>
        <w:textAlignment w:val="auto"/>
        <w:rPr>
          <w:rFonts w:hint="default" w:ascii="仿宋_GB2312" w:hAnsi="Calibri" w:eastAsia="仿宋_GB2312" w:cs="Times New Roman"/>
          <w:kern w:val="2"/>
          <w:sz w:val="32"/>
          <w:szCs w:val="32"/>
        </w:rPr>
      </w:pPr>
      <w:r>
        <w:rPr>
          <w:rFonts w:hint="default" w:ascii="仿宋_GB2312" w:hAnsi="Calibri" w:eastAsia="仿宋_GB2312" w:cs="仿宋_GB2312"/>
          <w:b/>
          <w:bCs/>
          <w:kern w:val="2"/>
          <w:sz w:val="32"/>
          <w:szCs w:val="32"/>
          <w:lang w:val="en-US" w:eastAsia="zh-CN" w:bidi="ar"/>
        </w:rPr>
        <w:t>台州市人才市场有限公司</w:t>
      </w:r>
      <w:r>
        <w:rPr>
          <w:rFonts w:hint="default" w:ascii="仿宋_GB2312" w:hAnsi="Calibri" w:eastAsia="仿宋_GB2312" w:cs="仿宋_GB2312"/>
          <w:kern w:val="2"/>
          <w:sz w:val="32"/>
          <w:szCs w:val="32"/>
          <w:lang w:val="en-US" w:eastAsia="zh-CN" w:bidi="ar"/>
        </w:rPr>
        <w:t>成立于2020年7月30日，注册资本1000万元，为台州市科创投资集团所属全资子公司，是国企背景的专业化人才服务机构，公司坐落于浙江省台州市椒江区白云山南路139号2层。主要从事人才招聘、人才引进、人才测评、人才教育培训、活动赛事承办等相关业务。围绕“国际化视野、专业化服务、市场化运营”的定位，着眼构建发现人才、引进人才</w:t>
      </w:r>
      <w:r>
        <w:rPr>
          <w:rFonts w:hint="eastAsia" w:ascii="仿宋_GB2312" w:hAnsi="Calibri" w:eastAsia="仿宋_GB2312" w:cs="仿宋_GB2312"/>
          <w:kern w:val="2"/>
          <w:sz w:val="32"/>
          <w:szCs w:val="32"/>
          <w:lang w:val="en-US" w:eastAsia="zh-CN" w:bidi="ar"/>
        </w:rPr>
        <w:t>、</w:t>
      </w:r>
      <w:r>
        <w:rPr>
          <w:rFonts w:hint="default" w:ascii="仿宋_GB2312" w:hAnsi="Calibri" w:eastAsia="仿宋_GB2312" w:cs="仿宋_GB2312"/>
          <w:kern w:val="2"/>
          <w:sz w:val="32"/>
          <w:szCs w:val="32"/>
          <w:lang w:val="en-US" w:eastAsia="zh-CN" w:bidi="ar"/>
        </w:rPr>
        <w:t>培育人才、成就人才、留住人才“全链条”工作新模式，服务市委人才战略实施。</w:t>
      </w:r>
    </w:p>
    <w:p w14:paraId="5560C2EB">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仿宋_GB2312" w:eastAsia="仿宋_GB2312" w:cs="仿宋_GB2312"/>
          <w:sz w:val="32"/>
          <w:szCs w:val="32"/>
          <w:lang w:eastAsia="zh-CN"/>
        </w:rPr>
      </w:pPr>
      <w:r>
        <w:rPr>
          <w:rFonts w:hint="default" w:ascii="仿宋_GB2312" w:hAnsi="仿宋_GB2312" w:eastAsia="仿宋_GB2312" w:cs="仿宋_GB2312"/>
          <w:b/>
          <w:bCs/>
          <w:sz w:val="32"/>
          <w:szCs w:val="32"/>
          <w:lang w:eastAsia="zh-CN"/>
        </w:rPr>
        <w:t>台州市台创生态园开发有限公司</w:t>
      </w:r>
      <w:r>
        <w:rPr>
          <w:rFonts w:hint="default" w:ascii="仿宋_GB2312" w:hAnsi="仿宋_GB2312" w:eastAsia="仿宋_GB2312" w:cs="仿宋_GB2312"/>
          <w:sz w:val="32"/>
          <w:szCs w:val="32"/>
          <w:lang w:eastAsia="zh-CN"/>
        </w:rPr>
        <w:t>位于浙江省台州市台州湾新区核心区，是台州市科创投资集团有限公司旗下控股子公司。公司成立于2024年12月5日，注册资本2亿元。公司以建设运营高品质科创园区为核心，搭建产业发展平台，通过资源整合、服务创新和生态构建，推动科技企业发展、促进产学研融合、加速科技成果转化。公司目前正在建设的台州湾科创生态园项目，占地124亩，建筑面积约24万平方米，将打造集研发、中试、产业化于一体的科创综合体。同时，公司负责管理台州市高新技术创业服务中心（国家级科技企业孵化器），以构建“孵化-加速-产业化”全链条服务体系，为初创企业提供政策辅导、资源对接、投融资等专业化服务，助力科技型中小企业快速成长。</w:t>
      </w:r>
    </w:p>
    <w:p w14:paraId="36D38B3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auto"/>
          <w:sz w:val="32"/>
          <w:szCs w:val="32"/>
          <w:highlight w:val="none"/>
          <w:shd w:val="clear" w:color="auto" w:fill="auto"/>
          <w:lang w:val="en-US" w:eastAsia="zh-CN"/>
        </w:rPr>
      </w:pPr>
      <w:r>
        <w:rPr>
          <w:rFonts w:hint="default" w:ascii="仿宋_GB2312" w:hAnsi="仿宋_GB2312" w:eastAsia="仿宋_GB2312" w:cs="仿宋_GB2312"/>
          <w:b/>
          <w:bCs/>
          <w:sz w:val="32"/>
          <w:szCs w:val="32"/>
          <w:lang w:eastAsia="zh-CN"/>
        </w:rPr>
        <w:t>浙江台科企业管理有限公司</w:t>
      </w:r>
      <w:r>
        <w:rPr>
          <w:rFonts w:hint="default" w:ascii="仿宋_GB2312" w:hAnsi="仿宋_GB2312" w:eastAsia="仿宋_GB2312" w:cs="仿宋_GB2312"/>
          <w:sz w:val="32"/>
          <w:szCs w:val="32"/>
          <w:lang w:eastAsia="zh-CN"/>
        </w:rPr>
        <w:t>成立于2021年4月，注册资金5000万元，系科创集团下属全资子公司。公司立足长期资本、耐心资本的功能定位，围绕台州市新质生产力发展要求，集聚科技创新、产业项目、高层次人才、资本要素，精准开展未来产业投资招引、项目投后运营管理等工作。公司深耕本地优质企业、抓实招引项目投资落地，推进区域产业链创新链深度融合，赋能科创产业长期价值培育，为台州经济高质量发展贡献力量。</w:t>
      </w:r>
    </w:p>
    <w:p w14:paraId="6A8C1A7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pPr>
    </w:p>
    <w:p w14:paraId="7CBFCED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b/>
          <w:bCs/>
          <w:i w:val="0"/>
          <w:caps w:val="0"/>
          <w:color w:val="auto"/>
          <w:spacing w:val="0"/>
          <w:sz w:val="32"/>
          <w:szCs w:val="32"/>
          <w:highlight w:val="none"/>
          <w:shd w:val="clear" w:color="auto" w:fill="auto"/>
          <w:lang w:val="en-US" w:eastAsia="zh-CN"/>
        </w:rPr>
        <w:t>4.</w:t>
      </w:r>
      <w:r>
        <w:rPr>
          <w:rFonts w:hint="eastAsia" w:ascii="仿宋_GB2312" w:hAnsi="仿宋_GB2312" w:eastAsia="仿宋_GB2312" w:cs="仿宋_GB2312"/>
          <w:b/>
          <w:bCs/>
          <w:i w:val="0"/>
          <w:caps w:val="0"/>
          <w:color w:val="auto"/>
          <w:spacing w:val="0"/>
          <w:sz w:val="32"/>
          <w:szCs w:val="32"/>
          <w:highlight w:val="none"/>
          <w:shd w:val="clear" w:color="auto" w:fill="auto"/>
          <w:lang w:eastAsia="zh-CN"/>
        </w:rPr>
        <w:t>台州市国有资本运营集团有限公司</w:t>
      </w:r>
      <w:r>
        <w:rPr>
          <w:rFonts w:hint="eastAsia" w:ascii="仿宋_GB2312" w:hAnsi="仿宋_GB2312" w:eastAsia="仿宋_GB2312" w:cs="仿宋_GB2312"/>
          <w:color w:val="000000" w:themeColor="text1"/>
          <w:sz w:val="32"/>
          <w:szCs w:val="32"/>
          <w:highlight w:val="none"/>
          <w14:textFill>
            <w14:solidFill>
              <w14:schemeClr w14:val="tx1"/>
            </w14:solidFill>
          </w14:textFill>
        </w:rPr>
        <w:t>（以下简称“台州资本集团”）成立于2016年，是经台州市人民政府批准，由台州市人民政府国有资产监督管理委员会及浙江省浙财社保股权管理有限公司出资设立的国有全资公司。主体信用评级AAA，注册资本30亿元。台州资本集团为台州市属企业唯一一家国有资本运营试点单位，</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作为</w:t>
      </w:r>
      <w:r>
        <w:rPr>
          <w:rFonts w:hint="eastAsia" w:ascii="仿宋_GB2312" w:hAnsi="仿宋_GB2312" w:eastAsia="仿宋_GB2312" w:cs="仿宋_GB2312"/>
          <w:color w:val="000000" w:themeColor="text1"/>
          <w:sz w:val="32"/>
          <w:szCs w:val="32"/>
          <w:highlight w:val="none"/>
          <w14:textFill>
            <w14:solidFill>
              <w14:schemeClr w14:val="tx1"/>
            </w14:solidFill>
          </w14:textFill>
        </w:rPr>
        <w:t>多家市属国企集团的出资主体，承担着股权管理、资本运作、资源整合等重要职能。近年来，台州资本集团致力于做强做优做大“资本运营、能源保障、咨询设计、商贸医养</w:t>
      </w:r>
      <w:bookmarkStart w:id="0" w:name="_GoBack"/>
      <w:bookmarkEnd w:id="0"/>
      <w:r>
        <w:rPr>
          <w:rFonts w:hint="eastAsia" w:ascii="仿宋_GB2312" w:hAnsi="仿宋_GB2312" w:eastAsia="仿宋_GB2312" w:cs="仿宋_GB2312"/>
          <w:color w:val="000000" w:themeColor="text1"/>
          <w:sz w:val="32"/>
          <w:szCs w:val="32"/>
          <w:highlight w:val="none"/>
          <w14:textFill>
            <w14:solidFill>
              <w14:schemeClr w14:val="tx1"/>
            </w14:solidFill>
          </w14:textFill>
        </w:rPr>
        <w:t>”四大重点板块，全力打造“资本运营链”、打响“台州资本”品牌，助推</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市委“</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1336</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”工作体系</w:t>
      </w:r>
      <w:r>
        <w:rPr>
          <w:rFonts w:hint="eastAsia" w:ascii="仿宋_GB2312" w:hAnsi="仿宋_GB2312" w:eastAsia="仿宋_GB2312" w:cs="仿宋_GB2312"/>
          <w:color w:val="000000" w:themeColor="text1"/>
          <w:sz w:val="32"/>
          <w:szCs w:val="32"/>
          <w:highlight w:val="none"/>
          <w14:textFill>
            <w14:solidFill>
              <w14:schemeClr w14:val="tx1"/>
            </w14:solidFill>
          </w14:textFill>
        </w:rPr>
        <w:t>和“5</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5</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14:textFill>
            <w14:solidFill>
              <w14:schemeClr w14:val="tx1"/>
            </w14:solidFill>
          </w14:textFill>
        </w:rPr>
        <w:t>6”</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现代</w:t>
      </w:r>
      <w:r>
        <w:rPr>
          <w:rFonts w:hint="eastAsia" w:ascii="仿宋_GB2312" w:hAnsi="仿宋_GB2312" w:eastAsia="仿宋_GB2312" w:cs="仿宋_GB2312"/>
          <w:color w:val="000000" w:themeColor="text1"/>
          <w:sz w:val="32"/>
          <w:szCs w:val="32"/>
          <w:highlight w:val="none"/>
          <w14:textFill>
            <w14:solidFill>
              <w14:schemeClr w14:val="tx1"/>
            </w14:solidFill>
          </w14:textFill>
        </w:rPr>
        <w:t>产业体系落地见效，为全力谱写中国式现代化台州实践新篇章贡献国企力量。</w:t>
      </w:r>
    </w:p>
    <w:p w14:paraId="58FA939B">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仿宋_GB2312" w:hAnsi="仿宋_GB2312" w:eastAsia="仿宋_GB2312" w:cs="仿宋_GB2312"/>
          <w:i w:val="0"/>
          <w:caps w:val="0"/>
          <w:color w:val="auto"/>
          <w:spacing w:val="0"/>
          <w:sz w:val="32"/>
          <w:szCs w:val="32"/>
          <w:highlight w:val="none"/>
          <w:shd w:val="clear" w:color="auto" w:fill="auto"/>
          <w:lang w:eastAsia="zh-CN"/>
        </w:rPr>
      </w:pPr>
      <w:r>
        <w:rPr>
          <w:rFonts w:hint="eastAsia" w:ascii="仿宋_GB2312" w:hAnsi="仿宋_GB2312" w:eastAsia="仿宋_GB2312" w:cs="仿宋_GB2312"/>
          <w:i w:val="0"/>
          <w:caps w:val="0"/>
          <w:color w:val="auto"/>
          <w:spacing w:val="0"/>
          <w:sz w:val="32"/>
          <w:szCs w:val="32"/>
          <w:highlight w:val="none"/>
          <w:shd w:val="clear" w:color="auto" w:fill="auto"/>
          <w:lang w:eastAsia="zh-CN"/>
        </w:rPr>
        <w:drawing>
          <wp:inline distT="0" distB="0" distL="114300" distR="114300">
            <wp:extent cx="1895475" cy="1828800"/>
            <wp:effectExtent l="0" t="0" r="9525" b="0"/>
            <wp:docPr id="7" name="图片 7" descr="微信图片_20251027114739_57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51027114739_57_120"/>
                    <pic:cNvPicPr>
                      <a:picLocks noChangeAspect="1"/>
                    </pic:cNvPicPr>
                  </pic:nvPicPr>
                  <pic:blipFill>
                    <a:blip r:embed="rId9"/>
                    <a:stretch>
                      <a:fillRect/>
                    </a:stretch>
                  </pic:blipFill>
                  <pic:spPr>
                    <a:xfrm>
                      <a:off x="0" y="0"/>
                      <a:ext cx="1895475" cy="1828800"/>
                    </a:xfrm>
                    <a:prstGeom prst="rect">
                      <a:avLst/>
                    </a:prstGeom>
                  </pic:spPr>
                </pic:pic>
              </a:graphicData>
            </a:graphic>
          </wp:inline>
        </w:drawing>
      </w:r>
    </w:p>
    <w:p w14:paraId="37FC446A">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center"/>
        <w:textAlignment w:val="auto"/>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pPr>
      <w:r>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t>市资本集团微信公众号</w:t>
      </w:r>
    </w:p>
    <w:p w14:paraId="28DD6FE9">
      <w:pPr>
        <w:keepNext w:val="0"/>
        <w:keepLines w:val="0"/>
        <w:pageBreakBefore w:val="0"/>
        <w:widowControl/>
        <w:suppressLineNumbers w:val="0"/>
        <w:kinsoku/>
        <w:wordWrap/>
        <w:overflowPunct/>
        <w:topLinePunct w:val="0"/>
        <w:autoSpaceDE/>
        <w:autoSpaceDN/>
        <w:bidi w:val="0"/>
        <w:adjustRightInd/>
        <w:snapToGrid/>
        <w:spacing w:line="600" w:lineRule="exact"/>
        <w:ind w:firstLine="643" w:firstLineChars="200"/>
        <w:jc w:val="left"/>
        <w:textAlignment w:val="auto"/>
        <w:rPr>
          <w:rFonts w:hint="eastAsia" w:ascii="仿宋_GB2312" w:hAnsi="仿宋_GB2312" w:eastAsia="仿宋_GB2312" w:cs="仿宋_GB2312"/>
          <w:b/>
          <w:bCs/>
          <w:i w:val="0"/>
          <w:caps w:val="0"/>
          <w:color w:val="auto"/>
          <w:spacing w:val="0"/>
          <w:sz w:val="21"/>
          <w:szCs w:val="21"/>
          <w:highlight w:val="none"/>
          <w:shd w:val="clear" w:color="auto" w:fill="auto"/>
          <w:lang w:val="en-US" w:eastAsia="zh-CN"/>
        </w:rPr>
      </w:pPr>
      <w:r>
        <w:rPr>
          <w:rFonts w:hint="eastAsia" w:ascii="仿宋_GB2312" w:hAnsi="仿宋_GB2312" w:eastAsia="仿宋_GB2312" w:cs="仿宋_GB2312"/>
          <w:b/>
          <w:bCs/>
          <w:color w:val="000000"/>
          <w:sz w:val="32"/>
          <w:szCs w:val="32"/>
          <w:highlight w:val="none"/>
          <w:lang w:val="en-US" w:eastAsia="zh-CN"/>
        </w:rPr>
        <w:t>台州市国有资产投资集团有限公司</w:t>
      </w:r>
      <w:r>
        <w:rPr>
          <w:rFonts w:hint="eastAsia" w:ascii="仿宋_GB2312" w:hAnsi="仿宋_GB2312" w:eastAsia="仿宋_GB2312" w:cs="仿宋_GB2312"/>
          <w:color w:val="000000"/>
          <w:sz w:val="32"/>
          <w:szCs w:val="32"/>
          <w:highlight w:val="none"/>
          <w:lang w:val="en-US" w:eastAsia="zh-CN"/>
        </w:rPr>
        <w:t>成立于2009年，是台州市资本集团下属的全资子公司。公司注册资本18亿元，主体信用评级AA+，依托国有资本运营公司试点优势，重点开展资本运作、股权管理、基金投资等业务，下属全资控股6家、参股公司14家。近年来，公司不断做强做优“产业+资本”文章，联合长三角国资国企，设立基金35只，总规模176亿元。控股企业和泽医药连续多年获评“中国医药研发公司20强”，拥有浙江省重点企业研究院等省级研发平台；出资组建申能财险，成为浙江省唯一具备发起人资格的国有企业，参投的海正生材荣获浙江省科学技术进步二等奖，参投的博锐生物多次入选“独角兽企业”，位居《胡润中国医疗新势力企业》榜单第六。</w:t>
      </w:r>
    </w:p>
    <w:p w14:paraId="47912508">
      <w:pPr>
        <w:jc w:val="center"/>
        <w:rPr>
          <w:rFonts w:hint="default" w:ascii="仿宋_GB2312" w:hAnsi="仿宋_GB2312" w:eastAsia="仿宋_GB2312" w:cs="仿宋_GB2312"/>
          <w:sz w:val="36"/>
          <w:szCs w:val="36"/>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jNTA4M2I3MjNmNGMwMDk0NGZkZjFmN2ViMWUyM2YifQ=="/>
  </w:docVars>
  <w:rsids>
    <w:rsidRoot w:val="066B1E31"/>
    <w:rsid w:val="01CC4BE5"/>
    <w:rsid w:val="03642DAE"/>
    <w:rsid w:val="066B1E31"/>
    <w:rsid w:val="119E63C3"/>
    <w:rsid w:val="191E3CA8"/>
    <w:rsid w:val="1B7C65B2"/>
    <w:rsid w:val="2AF70DAC"/>
    <w:rsid w:val="363D4937"/>
    <w:rsid w:val="3AB05F35"/>
    <w:rsid w:val="3DF157AE"/>
    <w:rsid w:val="437722D0"/>
    <w:rsid w:val="4B2E23F0"/>
    <w:rsid w:val="56593C3B"/>
    <w:rsid w:val="5C623969"/>
    <w:rsid w:val="60CC2F9D"/>
    <w:rsid w:val="6309257E"/>
    <w:rsid w:val="66925AD1"/>
    <w:rsid w:val="6C9C1863"/>
    <w:rsid w:val="6D0C5EFB"/>
    <w:rsid w:val="7BFFF03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2354</Words>
  <Characters>2459</Characters>
  <Lines>0</Lines>
  <Paragraphs>0</Paragraphs>
  <TotalTime>4</TotalTime>
  <ScaleCrop>false</ScaleCrop>
  <LinksUpToDate>false</LinksUpToDate>
  <CharactersWithSpaces>2481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2025-10-27T09:24:00Z</dcterms:created>
  <dc:creator>郑云龙</dc:creator>
  <cp:lastModifiedBy>蒋经德</cp:lastModifiedBy>
  <dcterms:modified xsi:type="dcterms:W3CDTF">2026-10-23T08:51:02Z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B7A9E28725C34D808E824E8DABED7172_13</vt:lpwstr>
  </property>
  <property fmtid="{D5CDD505-2E9C-101B-9397-08002B2CF9AE}" pid="4" name="KSOTemplateDocerSaveRecord">
    <vt:lpwstr>eyJoZGlkIjoiYzIyZjFlNjQyNjJmMGUwNjJlNjcxYWI4ODY4YzdmODciLCJ1c2VySWQiOiIxNDYwMzAyODM3In0=</vt:lpwstr>
  </property>
</Properties>
</file>