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272E8">
      <w:pPr>
        <w:keepNext w:val="0"/>
        <w:keepLines w:val="0"/>
        <w:pageBreakBefore/>
        <w:widowControl w:val="0"/>
        <w:tabs>
          <w:tab w:val="left" w:pos="4123"/>
          <w:tab w:val="left" w:pos="62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79" w:lineRule="exact"/>
        <w:ind w:left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</w:p>
    <w:p w14:paraId="51BA601A">
      <w:pPr>
        <w:keepNext w:val="0"/>
        <w:keepLines w:val="0"/>
        <w:pageBreakBefore w:val="0"/>
        <w:widowControl w:val="0"/>
        <w:tabs>
          <w:tab w:val="left" w:pos="4123"/>
          <w:tab w:val="left" w:pos="62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/>
        </w:rPr>
        <w:t>“三支一扶”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人员健康状况要求</w:t>
      </w:r>
    </w:p>
    <w:p w14:paraId="6CB23D11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有以下疾病或生理缺陷的高校毕业生，不能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聘用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4C99A415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27" w:firstLineChars="196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严重心脏病（先天性心脏病经手术治愈，或房室间隔缺损分留量少，动脉导管未闭返流血量少，经二级以上医院专科检查确定无需手术者除外）、心肌病、高血压病。</w:t>
      </w:r>
    </w:p>
    <w:p w14:paraId="49EC22DF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27" w:firstLineChars="196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重症支气管扩张、哮喘，恶性肿瘤、慢性肾炎，尿毒症。</w:t>
      </w:r>
    </w:p>
    <w:p w14:paraId="0A734E27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27" w:firstLineChars="196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严重的血液、内分泌及代谢系统疾病、风湿性疾病。</w:t>
      </w:r>
    </w:p>
    <w:p w14:paraId="6BB13A65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27" w:firstLineChars="196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重症或难治性癫痫或其他神经系统疾病；严重精神病未治愈、精神活性物质滥用和依赖。</w:t>
      </w:r>
    </w:p>
    <w:p w14:paraId="0D42F98B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27" w:firstLineChars="196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慢性肝炎病人并且肝功能不正常者（肝炎病原携带者但肝功能正常者除外）。</w:t>
      </w:r>
    </w:p>
    <w:p w14:paraId="6735C350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结核病，除以下情况外均不能参加：</w:t>
      </w:r>
    </w:p>
    <w:p w14:paraId="3BA8DB81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（1）原发型肺结核、浸润型肺结核已硬结稳定；结核型胸膜炎已治愈，或治愈后遗有胸膜肥厚者；</w:t>
      </w:r>
    </w:p>
    <w:p w14:paraId="2FE9761E">
      <w:pPr>
        <w:keepNext w:val="0"/>
        <w:keepLines w:val="0"/>
        <w:pageBreakBefore w:val="0"/>
        <w:widowControl w:val="0"/>
        <w:tabs>
          <w:tab w:val="left" w:pos="4123"/>
          <w:tab w:val="left" w:pos="61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27" w:firstLineChars="196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（2）一切肺外结核（肾结核、骨结核、腹膜结核等）、血行性播散型肺结核治愈后一年以上未复发，经二级以上医院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或结核病防治所）专科检查无变化者；</w:t>
      </w:r>
    </w:p>
    <w:p w14:paraId="7A05024E">
      <w:pPr>
        <w:keepNext w:val="0"/>
        <w:keepLines w:val="0"/>
        <w:pageBreakBefore w:val="0"/>
        <w:widowControl w:val="0"/>
        <w:tabs>
          <w:tab w:val="left" w:pos="4123"/>
          <w:tab w:val="left" w:pos="62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9" w:lineRule="exact"/>
        <w:ind w:left="0" w:firstLine="640" w:firstLineChars="200"/>
        <w:jc w:val="both"/>
        <w:textAlignment w:val="auto"/>
        <w:rPr>
          <w:rFonts w:hint="eastAsia" w:eastAsia="仿宋_GB231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（3）淋巴腺结核已临床治愈无症状者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仿宋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公文小标宋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公文仿宋" w:hAnsi="方正公文仿宋" w:eastAsia="方正公文仿宋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宋体" w:cs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2026-10-27T01:16:06Z</dcterms:created>
  <dc:creator>Administrator</dc:creator>
  <cp:lastModifiedBy>poison</cp:lastModifiedBy>
  <dcterms:modified xsi:type="dcterms:W3CDTF">2026-10-27T01:17:14Z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eyJoZGlkIjoiMjZhYTQ3NjUxY2FkYTE3MDE4MGMxN2E5MWVjOWU3MmEiLCJ1c2VySWQiOiI5MTA0NjMyNTUifQ==</vt:lpwstr>
  </property>
  <property fmtid="{D5CDD505-2E9C-101B-9397-08002B2CF9AE}" pid="4" name="ICV">
    <vt:lpwstr>D6DC213B95B14B93A08B3CC5D68281C8_12</vt:lpwstr>
  </property>
</Properties>
</file>