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960FBD">
      <w:pPr>
        <w:spacing w:before="215" w:line="579" w:lineRule="exact"/>
        <w:jc w:val="left"/>
        <w:outlineLvl w:val="0"/>
        <w:rPr>
          <w:rFonts w:hint="eastAsia" w:ascii="方正小标宋_GBK" w:hAnsi="方正小标宋_GBK" w:eastAsia="方正小标宋_GBK" w:cs="方正小标宋_GBK"/>
          <w:color w:val="auto"/>
          <w:spacing w:val="-17"/>
          <w:position w:val="-2"/>
          <w:sz w:val="32"/>
          <w:szCs w:val="32"/>
          <w:lang w:eastAsia="zh-CN"/>
        </w:rPr>
      </w:pPr>
      <w:r>
        <w:rPr>
          <w:rFonts w:hint="eastAsia" w:ascii="方正小标宋_GBK" w:hAnsi="方正小标宋_GBK" w:eastAsia="方正小标宋_GBK" w:cs="方正小标宋_GBK"/>
          <w:color w:val="auto"/>
          <w:spacing w:val="-17"/>
          <w:position w:val="-2"/>
          <w:sz w:val="32"/>
          <w:szCs w:val="32"/>
        </w:rPr>
        <w:t>附件</w:t>
      </w:r>
      <w:r>
        <w:rPr>
          <w:rFonts w:hint="eastAsia" w:ascii="方正小标宋_GBK" w:hAnsi="方正小标宋_GBK" w:eastAsia="方正小标宋_GBK" w:cs="方正小标宋_GBK"/>
          <w:color w:val="auto"/>
          <w:spacing w:val="-17"/>
          <w:position w:val="-2"/>
          <w:sz w:val="32"/>
          <w:szCs w:val="32"/>
          <w:lang w:val="en-US" w:eastAsia="zh-CN"/>
        </w:rPr>
        <w:t>2</w:t>
      </w:r>
    </w:p>
    <w:p w14:paraId="1DE696BC">
      <w:pPr>
        <w:spacing w:before="215" w:line="579" w:lineRule="exact"/>
        <w:jc w:val="center"/>
        <w:outlineLvl w:val="0"/>
        <w:rPr>
          <w:rFonts w:hint="eastAsia" w:ascii="方正小标宋_GBK" w:hAnsi="方正小标宋_GBK" w:eastAsia="方正小标宋_GBK" w:cs="方正小标宋_GBK"/>
          <w:color w:val="auto"/>
          <w:spacing w:val="-17"/>
          <w:position w:val="-2"/>
          <w:sz w:val="50"/>
          <w:szCs w:val="50"/>
        </w:rPr>
      </w:pPr>
      <w:bookmarkStart w:id="0" w:name="_GoBack"/>
      <w:r>
        <w:rPr>
          <w:rFonts w:hint="eastAsia" w:ascii="方正小标宋_GBK" w:hAnsi="方正小标宋_GBK" w:eastAsia="方正小标宋_GBK" w:cs="方正小标宋_GBK"/>
          <w:color w:val="auto"/>
          <w:spacing w:val="-17"/>
          <w:position w:val="-2"/>
          <w:sz w:val="50"/>
          <w:szCs w:val="50"/>
        </w:rPr>
        <w:t>成都经济技术开发区（龙泉驿区）区属国企简介</w:t>
      </w:r>
    </w:p>
    <w:bookmarkEnd w:id="0"/>
    <w:p w14:paraId="2DFAE32B">
      <w:pPr>
        <w:spacing w:line="579" w:lineRule="exact"/>
        <w:rPr>
          <w:color w:val="auto"/>
        </w:rPr>
      </w:pPr>
    </w:p>
    <w:p w14:paraId="309B744A">
      <w:pPr>
        <w:keepNext w:val="0"/>
        <w:keepLines w:val="0"/>
        <w:pageBreakBefore w:val="0"/>
        <w:kinsoku/>
        <w:autoSpaceDE/>
        <w:autoSpaceDN/>
        <w:bidi w:val="0"/>
        <w:adjustRightInd w:val="0"/>
        <w:snapToGrid w:val="0"/>
        <w:spacing w:line="579" w:lineRule="exact"/>
        <w:jc w:val="center"/>
        <w:textAlignment w:val="auto"/>
        <w:rPr>
          <w:rFonts w:hint="eastAsia" w:ascii="方正小标宋_GBK" w:hAnsi="方正小标宋_GBK" w:eastAsia="方正小标宋_GBK" w:cs="方正小标宋_GBK"/>
          <w:color w:val="auto"/>
          <w:spacing w:val="-17"/>
          <w:position w:val="-2"/>
          <w:sz w:val="44"/>
          <w:szCs w:val="44"/>
        </w:rPr>
      </w:pPr>
      <w:r>
        <w:rPr>
          <w:rFonts w:hint="eastAsia" w:ascii="方正小标宋_GBK" w:hAnsi="方正小标宋_GBK" w:eastAsia="方正小标宋_GBK" w:cs="方正小标宋_GBK"/>
          <w:color w:val="auto"/>
          <w:spacing w:val="-17"/>
          <w:position w:val="-2"/>
          <w:sz w:val="44"/>
          <w:szCs w:val="44"/>
        </w:rPr>
        <w:t>成都经开建工集团有限公司</w:t>
      </w:r>
    </w:p>
    <w:p w14:paraId="62299A05">
      <w:pPr>
        <w:spacing w:line="579" w:lineRule="exact"/>
        <w:ind w:firstLine="640" w:firstLineChars="200"/>
        <w:jc w:val="left"/>
        <w:rPr>
          <w:rFonts w:hint="eastAsia" w:ascii="Times New Roman" w:hAnsi="Times New Roman" w:eastAsia="方正仿宋_GBK" w:cs="Times New Roman"/>
          <w:bCs/>
          <w:color w:val="auto"/>
          <w:sz w:val="32"/>
          <w:szCs w:val="32"/>
        </w:rPr>
      </w:pPr>
      <w:r>
        <w:rPr>
          <w:rFonts w:hint="eastAsia" w:ascii="Times New Roman" w:hAnsi="Times New Roman" w:eastAsia="方正仿宋_GBK" w:cs="Times New Roman"/>
          <w:bCs/>
          <w:color w:val="auto"/>
          <w:sz w:val="32"/>
          <w:szCs w:val="32"/>
        </w:rPr>
        <w:t>成都经开建工集团有限公司（以下简称“经开建工集团”）成立于1999年4月，为</w:t>
      </w:r>
      <w:r>
        <w:rPr>
          <w:rFonts w:hint="eastAsia" w:ascii="Times New Roman" w:hAnsi="Times New Roman" w:eastAsia="方正仿宋_GBK" w:cs="Times New Roman"/>
          <w:bCs/>
          <w:sz w:val="32"/>
          <w:szCs w:val="32"/>
        </w:rPr>
        <w:t>经开</w:t>
      </w:r>
      <w:r>
        <w:rPr>
          <w:rFonts w:hint="eastAsia" w:ascii="Times New Roman" w:hAnsi="Times New Roman" w:eastAsia="方正仿宋_GBK" w:cs="Times New Roman"/>
          <w:bCs/>
          <w:sz w:val="32"/>
          <w:szCs w:val="32"/>
          <w:lang w:val="en-US" w:eastAsia="zh-CN"/>
        </w:rPr>
        <w:t>发展</w:t>
      </w:r>
      <w:r>
        <w:rPr>
          <w:rFonts w:hint="eastAsia" w:ascii="Times New Roman" w:hAnsi="Times New Roman" w:eastAsia="方正仿宋_GBK" w:cs="Times New Roman"/>
          <w:bCs/>
          <w:sz w:val="32"/>
          <w:szCs w:val="32"/>
        </w:rPr>
        <w:t>集团</w:t>
      </w:r>
      <w:r>
        <w:rPr>
          <w:rFonts w:hint="eastAsia" w:ascii="Times New Roman" w:hAnsi="Times New Roman" w:eastAsia="方正仿宋_GBK" w:cs="Times New Roman"/>
          <w:bCs/>
          <w:sz w:val="32"/>
          <w:szCs w:val="32"/>
          <w:lang w:val="en-US" w:eastAsia="zh-CN"/>
        </w:rPr>
        <w:t>下属</w:t>
      </w:r>
      <w:r>
        <w:rPr>
          <w:rFonts w:hint="eastAsia" w:ascii="Times New Roman" w:hAnsi="Times New Roman" w:eastAsia="方正仿宋_GBK" w:cs="Times New Roman"/>
          <w:bCs/>
          <w:sz w:val="32"/>
          <w:szCs w:val="32"/>
        </w:rPr>
        <w:t>二级公司</w:t>
      </w:r>
      <w:r>
        <w:rPr>
          <w:rFonts w:hint="eastAsia" w:ascii="Times New Roman" w:hAnsi="Times New Roman" w:eastAsia="方正仿宋_GBK" w:cs="Times New Roman"/>
          <w:bCs/>
          <w:sz w:val="32"/>
          <w:szCs w:val="32"/>
          <w:lang w:eastAsia="zh-CN"/>
        </w:rPr>
        <w:t>，</w:t>
      </w:r>
      <w:r>
        <w:rPr>
          <w:rFonts w:hint="eastAsia" w:ascii="Times New Roman" w:hAnsi="Times New Roman" w:eastAsia="方正仿宋_GBK" w:cs="Times New Roman"/>
          <w:bCs/>
          <w:color w:val="auto"/>
          <w:sz w:val="32"/>
          <w:szCs w:val="32"/>
        </w:rPr>
        <w:t>注册资本2亿元，资产规模4亿元</w:t>
      </w:r>
      <w:r>
        <w:rPr>
          <w:rFonts w:hint="eastAsia" w:ascii="Times New Roman" w:hAnsi="Times New Roman" w:eastAsia="方正仿宋_GBK" w:cs="Times New Roman"/>
          <w:bCs/>
          <w:color w:val="auto"/>
          <w:sz w:val="32"/>
          <w:szCs w:val="32"/>
          <w:lang w:eastAsia="zh-CN"/>
        </w:rPr>
        <w:t>，持有5家全资子公司，代管1家区属三级国有公司</w:t>
      </w:r>
      <w:r>
        <w:rPr>
          <w:rFonts w:hint="eastAsia" w:ascii="Times New Roman" w:hAnsi="Times New Roman" w:eastAsia="方正仿宋_GBK" w:cs="Times New Roman"/>
          <w:bCs/>
          <w:color w:val="auto"/>
          <w:sz w:val="32"/>
          <w:szCs w:val="32"/>
        </w:rPr>
        <w:t>。</w:t>
      </w:r>
    </w:p>
    <w:p w14:paraId="2984C422">
      <w:pPr>
        <w:spacing w:line="579" w:lineRule="exact"/>
        <w:ind w:firstLine="640" w:firstLineChars="200"/>
        <w:jc w:val="left"/>
        <w:rPr>
          <w:rFonts w:hint="eastAsia"/>
        </w:rPr>
      </w:pPr>
      <w:r>
        <w:rPr>
          <w:rFonts w:hint="eastAsia" w:ascii="Times New Roman" w:hAnsi="Times New Roman" w:eastAsia="方正仿宋_GBK" w:cs="Times New Roman"/>
          <w:bCs/>
          <w:color w:val="auto"/>
          <w:sz w:val="32"/>
          <w:szCs w:val="32"/>
          <w:lang w:val="en-US" w:eastAsia="zh-CN"/>
        </w:rPr>
        <w:t>经开建工集团</w:t>
      </w:r>
      <w:r>
        <w:rPr>
          <w:rFonts w:hint="eastAsia" w:ascii="Times New Roman" w:hAnsi="Times New Roman" w:eastAsia="方正仿宋_GBK" w:cs="Times New Roman"/>
          <w:bCs/>
          <w:color w:val="auto"/>
          <w:sz w:val="32"/>
          <w:szCs w:val="32"/>
        </w:rPr>
        <w:t>主要负责建筑工程施工业务，市政、桥梁、道路、排水设施管护及区级各部门、平台公司交办的应急、维修等业务。持有建筑工程施工、市政公用工程施工、水利水电施工总承包贰级资质，地基基础工程、起重设备安装工程、防水防腐保温工程、钢结构工程、建筑装修装饰工程与古建筑工程专业承包贰级资质。</w:t>
      </w:r>
      <w:r>
        <w:rPr>
          <w:rFonts w:hint="eastAsia" w:ascii="Times New Roman" w:hAnsi="Times New Roman" w:eastAsia="方正仿宋_GBK" w:cs="Times New Roman"/>
          <w:bCs/>
          <w:color w:val="auto"/>
          <w:sz w:val="32"/>
          <w:szCs w:val="32"/>
          <w:lang w:val="en-US" w:eastAsia="zh-CN"/>
        </w:rPr>
        <w:t>公司</w:t>
      </w:r>
      <w:r>
        <w:rPr>
          <w:rFonts w:hint="eastAsia" w:ascii="Times New Roman" w:hAnsi="Times New Roman" w:eastAsia="方正仿宋_GBK" w:cs="Times New Roman"/>
          <w:bCs/>
          <w:color w:val="auto"/>
          <w:sz w:val="32"/>
          <w:szCs w:val="32"/>
        </w:rPr>
        <w:t>2022年至2025年被成都市建筑业协会评为建筑施工AAA级信用企业，先后荣获龙泉驿区应急管理协会2022年度十佳安全生产优秀企业、成都市建筑业协会2023年度先进企业、2024年度领先企业称号。</w:t>
      </w:r>
    </w:p>
    <w:p w14:paraId="1E8F8E64">
      <w:pPr>
        <w:pStyle w:val="7"/>
        <w:spacing w:line="579" w:lineRule="exact"/>
        <w:ind w:left="0" w:leftChars="0" w:firstLine="0" w:firstLineChars="0"/>
        <w:jc w:val="both"/>
        <w:rPr>
          <w:rFonts w:hint="eastAsia" w:ascii="方正小标宋_GBK" w:hAnsi="方正小标宋_GBK" w:eastAsia="方正小标宋_GBK" w:cs="方正小标宋_GBK"/>
          <w:color w:val="auto"/>
          <w:spacing w:val="-17"/>
          <w:position w:val="-2"/>
          <w:sz w:val="44"/>
          <w:szCs w:val="44"/>
        </w:rPr>
      </w:pPr>
    </w:p>
    <w:p w14:paraId="4190D9D1">
      <w:pPr>
        <w:keepNext w:val="0"/>
        <w:keepLines w:val="0"/>
        <w:pageBreakBefore w:val="0"/>
        <w:kinsoku/>
        <w:autoSpaceDE/>
        <w:autoSpaceDN/>
        <w:bidi w:val="0"/>
        <w:adjustRightInd w:val="0"/>
        <w:snapToGrid w:val="0"/>
        <w:spacing w:line="579" w:lineRule="exact"/>
        <w:jc w:val="center"/>
        <w:textAlignment w:val="auto"/>
        <w:rPr>
          <w:rFonts w:hint="eastAsia" w:ascii="方正小标宋_GBK" w:hAnsi="方正小标宋_GBK" w:eastAsia="方正小标宋_GBK" w:cs="方正小标宋_GBK"/>
          <w:color w:val="auto"/>
          <w:spacing w:val="-17"/>
          <w:position w:val="-2"/>
          <w:sz w:val="44"/>
          <w:szCs w:val="44"/>
          <w:lang w:val="en-US" w:eastAsia="zh-CN"/>
        </w:rPr>
      </w:pPr>
      <w:r>
        <w:rPr>
          <w:rFonts w:hint="eastAsia" w:ascii="方正小标宋_GBK" w:hAnsi="方正小标宋_GBK" w:eastAsia="方正小标宋_GBK" w:cs="方正小标宋_GBK"/>
          <w:color w:val="auto"/>
          <w:spacing w:val="-17"/>
          <w:position w:val="-2"/>
          <w:sz w:val="44"/>
          <w:szCs w:val="44"/>
          <w:lang w:val="en-US" w:eastAsia="zh-CN"/>
        </w:rPr>
        <w:t>成都市茏森绿化工程有限责任公司</w:t>
      </w:r>
    </w:p>
    <w:p w14:paraId="644660BE">
      <w:pPr>
        <w:pStyle w:val="7"/>
        <w:adjustRightInd/>
        <w:snapToGrid/>
        <w:spacing w:line="579" w:lineRule="exact"/>
        <w:ind w:firstLine="640" w:firstLineChars="200"/>
        <w:jc w:val="left"/>
        <w:rPr>
          <w:rFonts w:hint="eastAsia" w:ascii="Times New Roman" w:hAnsi="Times New Roman" w:eastAsia="方正仿宋_GBK" w:cs="Times New Roman"/>
          <w:bCs/>
          <w:color w:val="auto"/>
          <w:kern w:val="2"/>
          <w:sz w:val="32"/>
          <w:szCs w:val="32"/>
          <w:lang w:val="en-US" w:eastAsia="zh-CN" w:bidi="ar-SA"/>
        </w:rPr>
      </w:pPr>
      <w:r>
        <w:rPr>
          <w:rFonts w:hint="eastAsia" w:ascii="Times New Roman" w:hAnsi="Times New Roman" w:eastAsia="方正仿宋_GBK" w:cs="Times New Roman"/>
          <w:bCs/>
          <w:color w:val="auto"/>
          <w:kern w:val="2"/>
          <w:sz w:val="32"/>
          <w:szCs w:val="32"/>
          <w:lang w:val="en-US" w:eastAsia="zh-CN" w:bidi="ar-SA"/>
        </w:rPr>
        <w:t>成都市茏森绿化工程有限责任公司（以下简称“茏森绿化公司”）成立于2003年7月2日，为经开发展集团下属</w:t>
      </w:r>
      <w:r>
        <w:rPr>
          <w:rFonts w:hint="eastAsia" w:ascii="Times New Roman" w:eastAsia="方正仿宋_GBK" w:cs="Times New Roman"/>
          <w:bCs/>
          <w:color w:val="auto"/>
          <w:kern w:val="2"/>
          <w:sz w:val="32"/>
          <w:szCs w:val="32"/>
          <w:lang w:val="en-US" w:eastAsia="zh-CN" w:bidi="ar-SA"/>
        </w:rPr>
        <w:t>三</w:t>
      </w:r>
      <w:r>
        <w:rPr>
          <w:rFonts w:hint="eastAsia" w:ascii="Times New Roman" w:hAnsi="Times New Roman" w:eastAsia="方正仿宋_GBK" w:cs="Times New Roman"/>
          <w:bCs/>
          <w:color w:val="auto"/>
          <w:kern w:val="2"/>
          <w:sz w:val="32"/>
          <w:szCs w:val="32"/>
          <w:lang w:val="en-US" w:eastAsia="zh-CN" w:bidi="ar-SA"/>
        </w:rPr>
        <w:t>级公司</w:t>
      </w:r>
      <w:r>
        <w:rPr>
          <w:rFonts w:hint="eastAsia" w:ascii="Times New Roman" w:eastAsia="方正仿宋_GBK" w:cs="Times New Roman"/>
          <w:bCs/>
          <w:color w:val="auto"/>
          <w:kern w:val="2"/>
          <w:sz w:val="32"/>
          <w:szCs w:val="32"/>
          <w:lang w:val="en-US" w:eastAsia="zh-CN" w:bidi="ar-SA"/>
        </w:rPr>
        <w:t>，</w:t>
      </w:r>
      <w:r>
        <w:rPr>
          <w:rFonts w:hint="eastAsia" w:ascii="Times New Roman" w:hAnsi="Times New Roman" w:eastAsia="方正仿宋_GBK" w:cs="Times New Roman"/>
          <w:bCs/>
          <w:color w:val="auto"/>
          <w:kern w:val="2"/>
          <w:sz w:val="32"/>
          <w:szCs w:val="32"/>
          <w:lang w:val="en-US" w:eastAsia="zh-CN" w:bidi="ar-SA"/>
        </w:rPr>
        <w:t>注册资</w:t>
      </w:r>
      <w:r>
        <w:rPr>
          <w:rFonts w:hint="eastAsia" w:ascii="Times New Roman" w:eastAsia="方正仿宋_GBK" w:cs="Times New Roman"/>
          <w:bCs/>
          <w:color w:val="auto"/>
          <w:kern w:val="2"/>
          <w:sz w:val="32"/>
          <w:szCs w:val="32"/>
          <w:lang w:val="en-US" w:eastAsia="zh-CN" w:bidi="ar-SA"/>
        </w:rPr>
        <w:t>本</w:t>
      </w:r>
      <w:r>
        <w:rPr>
          <w:rFonts w:hint="eastAsia" w:ascii="Times New Roman" w:hAnsi="Times New Roman" w:eastAsia="方正仿宋_GBK" w:cs="Times New Roman"/>
          <w:bCs/>
          <w:color w:val="auto"/>
          <w:kern w:val="2"/>
          <w:sz w:val="32"/>
          <w:szCs w:val="32"/>
          <w:lang w:val="en-US" w:eastAsia="zh-CN" w:bidi="ar-SA"/>
        </w:rPr>
        <w:t>10500万元</w:t>
      </w:r>
      <w:r>
        <w:rPr>
          <w:rFonts w:hint="eastAsia" w:ascii="Times New Roman" w:eastAsia="方正仿宋_GBK" w:cs="Times New Roman"/>
          <w:bCs/>
          <w:color w:val="auto"/>
          <w:kern w:val="2"/>
          <w:sz w:val="32"/>
          <w:szCs w:val="32"/>
          <w:lang w:val="en-US" w:eastAsia="zh-CN" w:bidi="ar-SA"/>
        </w:rPr>
        <w:t>。</w:t>
      </w:r>
      <w:r>
        <w:rPr>
          <w:rFonts w:hint="eastAsia" w:ascii="Times New Roman" w:hAnsi="Times New Roman" w:eastAsia="方正仿宋_GBK" w:cs="Times New Roman"/>
          <w:bCs/>
          <w:color w:val="auto"/>
          <w:kern w:val="2"/>
          <w:sz w:val="32"/>
          <w:szCs w:val="32"/>
          <w:lang w:val="en-US" w:eastAsia="zh-CN" w:bidi="ar-SA"/>
        </w:rPr>
        <w:t>公司坚持“工程为本、运维赋能”的发展思路，持续深耕市政道路新建及管护、绿化管护两大核心领域，做精做优主营业务，筑牢经营基本盘。</w:t>
      </w:r>
    </w:p>
    <w:p w14:paraId="447EE1EC">
      <w:pPr>
        <w:pStyle w:val="7"/>
        <w:adjustRightInd/>
        <w:snapToGrid/>
        <w:spacing w:line="579" w:lineRule="exact"/>
        <w:ind w:firstLine="640" w:firstLineChars="200"/>
        <w:jc w:val="left"/>
        <w:rPr>
          <w:rFonts w:hint="eastAsia" w:ascii="Times New Roman" w:hAnsi="Times New Roman" w:eastAsia="方正仿宋_GBK" w:cs="Times New Roman"/>
          <w:bCs/>
          <w:color w:val="auto"/>
          <w:kern w:val="2"/>
          <w:sz w:val="32"/>
          <w:szCs w:val="32"/>
          <w:lang w:val="en-US" w:eastAsia="zh-CN" w:bidi="ar-SA"/>
        </w:rPr>
      </w:pPr>
      <w:r>
        <w:rPr>
          <w:rFonts w:hint="eastAsia" w:ascii="Times New Roman" w:hAnsi="Times New Roman" w:eastAsia="方正仿宋_GBK" w:cs="Times New Roman"/>
          <w:bCs/>
          <w:color w:val="auto"/>
          <w:kern w:val="2"/>
          <w:sz w:val="32"/>
          <w:szCs w:val="32"/>
          <w:lang w:val="en-US" w:eastAsia="zh-CN" w:bidi="ar-SA"/>
        </w:rPr>
        <w:t>茏森绿化公司以城市绿化管理与养护、园林绿化工程施工、市政工程施工为主营业务，以管护为依托，不断提升项目施工管理水平和市场竞争力，推动公司可持续健康发展。公司持有市政公用工程施工总承包贰级资质、建筑施工安全生产许可证、施工劳务不分等级资质。可依法承接对应类别工程施工业务，施工履约保障能力扎实可靠。</w:t>
      </w:r>
    </w:p>
    <w:p w14:paraId="30F22008">
      <w:pPr>
        <w:pStyle w:val="7"/>
        <w:keepNext w:val="0"/>
        <w:keepLines w:val="0"/>
        <w:pageBreakBefore w:val="0"/>
        <w:widowControl w:val="0"/>
        <w:kinsoku/>
        <w:wordWrap/>
        <w:overflowPunct/>
        <w:topLinePunct w:val="0"/>
        <w:autoSpaceDE/>
        <w:autoSpaceDN/>
        <w:bidi w:val="0"/>
        <w:adjustRightInd/>
        <w:snapToGrid/>
        <w:spacing w:line="579" w:lineRule="exact"/>
        <w:ind w:firstLine="0" w:firstLineChars="0"/>
        <w:jc w:val="left"/>
        <w:textAlignment w:val="auto"/>
        <w:outlineLvl w:val="9"/>
        <w:rPr>
          <w:rFonts w:hint="eastAsia" w:ascii="Times New Roman" w:hAnsi="Times New Roman" w:eastAsia="方正仿宋_GBK" w:cs="Times New Roman"/>
          <w:bCs/>
          <w:color w:val="auto"/>
          <w:kern w:val="2"/>
          <w:sz w:val="32"/>
          <w:szCs w:val="32"/>
          <w:lang w:val="en-US" w:eastAsia="zh-CN" w:bidi="ar-SA"/>
        </w:rPr>
      </w:pPr>
    </w:p>
    <w:p w14:paraId="2ABB6054">
      <w:pPr>
        <w:keepNext w:val="0"/>
        <w:keepLines w:val="0"/>
        <w:pageBreakBefore w:val="0"/>
        <w:kinsoku/>
        <w:autoSpaceDE/>
        <w:autoSpaceDN/>
        <w:bidi w:val="0"/>
        <w:adjustRightInd w:val="0"/>
        <w:snapToGrid w:val="0"/>
        <w:spacing w:line="579" w:lineRule="exact"/>
        <w:jc w:val="center"/>
        <w:textAlignment w:val="auto"/>
        <w:rPr>
          <w:rFonts w:hint="eastAsia" w:ascii="方正小标宋_GBK" w:hAnsi="方正小标宋_GBK" w:eastAsia="方正小标宋_GBK" w:cs="方正小标宋_GBK"/>
          <w:color w:val="auto"/>
          <w:spacing w:val="-17"/>
          <w:position w:val="-2"/>
          <w:sz w:val="44"/>
          <w:szCs w:val="44"/>
          <w:lang w:val="en-US" w:eastAsia="zh-CN"/>
        </w:rPr>
      </w:pPr>
      <w:r>
        <w:rPr>
          <w:rFonts w:hint="eastAsia" w:ascii="方正小标宋_GBK" w:hAnsi="方正小标宋_GBK" w:eastAsia="方正小标宋_GBK" w:cs="方正小标宋_GBK"/>
          <w:color w:val="auto"/>
          <w:spacing w:val="-17"/>
          <w:position w:val="-2"/>
          <w:sz w:val="44"/>
          <w:szCs w:val="44"/>
          <w:lang w:val="en-US" w:eastAsia="zh-CN"/>
        </w:rPr>
        <w:t>成都经开建设管理有限公司</w:t>
      </w:r>
    </w:p>
    <w:p w14:paraId="52510708">
      <w:pPr>
        <w:pStyle w:val="7"/>
        <w:adjustRightInd/>
        <w:snapToGrid/>
        <w:spacing w:line="579" w:lineRule="exact"/>
        <w:ind w:firstLine="640" w:firstLineChars="200"/>
        <w:jc w:val="left"/>
        <w:rPr>
          <w:rFonts w:hint="eastAsia" w:ascii="Times New Roman" w:hAnsi="Times New Roman" w:eastAsia="方正仿宋_GBK" w:cs="Times New Roman"/>
          <w:bCs/>
          <w:color w:val="auto"/>
          <w:kern w:val="2"/>
          <w:sz w:val="32"/>
          <w:szCs w:val="32"/>
          <w:lang w:val="en-US" w:eastAsia="zh-CN" w:bidi="ar-SA"/>
        </w:rPr>
      </w:pPr>
      <w:r>
        <w:rPr>
          <w:rFonts w:hint="eastAsia" w:ascii="Times New Roman" w:hAnsi="Times New Roman" w:eastAsia="方正仿宋_GBK" w:cs="Times New Roman"/>
          <w:bCs/>
          <w:color w:val="auto"/>
          <w:kern w:val="2"/>
          <w:sz w:val="32"/>
          <w:szCs w:val="32"/>
          <w:lang w:val="en-US" w:eastAsia="zh-CN" w:bidi="ar-SA"/>
        </w:rPr>
        <w:t>成都经开建设管理有限公司（以下简称“经开建管公司”）成立于2009年7月，前身为成都经济技术开发区城市建设投资经营有限公司。2020年8月，划转为成都经开国投集团有限公司下属子公司，2025年10月，提级至成都经开发展控股集团有限公司管理。注册资本5亿元，截至2025年底，公司资产总额达244.96亿元，主要承担政府投资代建管理和企业投资工作。</w:t>
      </w:r>
    </w:p>
    <w:p w14:paraId="3A230841">
      <w:pPr>
        <w:pStyle w:val="7"/>
        <w:adjustRightInd/>
        <w:snapToGrid/>
        <w:spacing w:line="579" w:lineRule="exact"/>
        <w:ind w:firstLine="640" w:firstLineChars="200"/>
        <w:jc w:val="left"/>
        <w:rPr>
          <w:rFonts w:hint="eastAsia" w:ascii="Times New Roman" w:hAnsi="Times New Roman" w:eastAsia="方正仿宋_GBK" w:cs="Times New Roman"/>
          <w:bCs/>
          <w:color w:val="auto"/>
          <w:kern w:val="2"/>
          <w:sz w:val="32"/>
          <w:szCs w:val="32"/>
          <w:lang w:val="en-US" w:eastAsia="zh-CN" w:bidi="ar-SA"/>
        </w:rPr>
      </w:pPr>
      <w:r>
        <w:rPr>
          <w:rFonts w:hint="eastAsia" w:ascii="Times New Roman" w:hAnsi="Times New Roman" w:eastAsia="方正仿宋_GBK" w:cs="Times New Roman"/>
          <w:bCs/>
          <w:color w:val="auto"/>
          <w:kern w:val="2"/>
          <w:sz w:val="32"/>
          <w:szCs w:val="32"/>
          <w:lang w:val="en-US" w:eastAsia="zh-CN" w:bidi="ar-SA"/>
        </w:rPr>
        <w:t>经开建管公司始终以打造“先进制造业高地、现代化品质城区”为己任，深耕龙泉驿区的城市建设与民生保障领域，高标准、高品质实施公共服务设施、安居工程、市政道路等项目，其中多个项目获得国家级、省部级荣誉，东安湖公园项目荣获中国建设工程鲁班奖（国家优质工程）、中国土木工程詹天佑奖、天府杯奖（省优质工程）等奖项，东安湖大剧院项目斩获中国钢结构金奖，长远小学项目获得第七届REARD全球地产设计大奖银奖。</w:t>
      </w:r>
    </w:p>
    <w:p w14:paraId="4F779178">
      <w:pPr>
        <w:keepNext w:val="0"/>
        <w:keepLines w:val="0"/>
        <w:pageBreakBefore w:val="0"/>
        <w:widowControl w:val="0"/>
        <w:kinsoku/>
        <w:wordWrap/>
        <w:overflowPunct/>
        <w:topLinePunct w:val="0"/>
        <w:autoSpaceDE/>
        <w:autoSpaceDN/>
        <w:bidi w:val="0"/>
        <w:adjustRightInd/>
        <w:snapToGrid/>
        <w:spacing w:line="579" w:lineRule="exact"/>
        <w:jc w:val="both"/>
        <w:textAlignment w:val="auto"/>
        <w:outlineLvl w:val="0"/>
        <w:rPr>
          <w:rFonts w:hint="eastAsia" w:ascii="方正小标宋_GBK" w:hAnsi="方正小标宋_GBK" w:eastAsia="方正小标宋_GBK" w:cs="方正小标宋_GBK"/>
          <w:spacing w:val="-17"/>
          <w:position w:val="-2"/>
          <w:sz w:val="44"/>
          <w:szCs w:val="44"/>
        </w:rPr>
      </w:pPr>
    </w:p>
    <w:p w14:paraId="6B7795CF">
      <w:pPr>
        <w:spacing w:before="215" w:line="579" w:lineRule="exact"/>
        <w:jc w:val="center"/>
        <w:outlineLvl w:val="0"/>
        <w:rPr>
          <w:rFonts w:hint="eastAsia" w:ascii="方正小标宋_GBK" w:hAnsi="方正小标宋_GBK" w:eastAsia="方正小标宋_GBK" w:cs="方正小标宋_GBK"/>
          <w:spacing w:val="-17"/>
          <w:position w:val="-2"/>
          <w:sz w:val="50"/>
          <w:szCs w:val="50"/>
        </w:rPr>
      </w:pPr>
      <w:r>
        <w:rPr>
          <w:rFonts w:hint="eastAsia" w:ascii="方正小标宋_GBK" w:hAnsi="方正小标宋_GBK" w:eastAsia="方正小标宋_GBK" w:cs="方正小标宋_GBK"/>
          <w:spacing w:val="-17"/>
          <w:position w:val="-2"/>
          <w:sz w:val="44"/>
          <w:szCs w:val="44"/>
        </w:rPr>
        <w:t>成都经开园区投资有限公司</w:t>
      </w:r>
    </w:p>
    <w:p w14:paraId="7373D834">
      <w:pPr>
        <w:pStyle w:val="7"/>
        <w:adjustRightInd/>
        <w:snapToGrid/>
        <w:spacing w:line="579" w:lineRule="exact"/>
        <w:ind w:firstLine="640" w:firstLineChars="200"/>
        <w:jc w:val="left"/>
        <w:rPr>
          <w:rFonts w:hint="eastAsia" w:ascii="Times New Roman" w:hAnsi="Times New Roman" w:eastAsia="方正仿宋_GBK" w:cs="Times New Roman"/>
          <w:bCs/>
          <w:sz w:val="32"/>
          <w:szCs w:val="32"/>
        </w:rPr>
      </w:pPr>
      <w:r>
        <w:rPr>
          <w:rFonts w:hint="eastAsia" w:ascii="Times New Roman" w:hAnsi="Times New Roman" w:eastAsia="方正仿宋_GBK" w:cs="Times New Roman"/>
          <w:bCs/>
          <w:sz w:val="32"/>
          <w:szCs w:val="32"/>
        </w:rPr>
        <w:t>成都经开园区投资有限公司（以下简称“经开园区公司”）于2021年8月实质化运作，是经开国投集团二级子公司，注册资本27亿元，资产总额107.76亿元。公司内设7个部门，现有人员50人，管理全资、参股及代管公司8家。</w:t>
      </w:r>
    </w:p>
    <w:p w14:paraId="23CAD531">
      <w:pPr>
        <w:pStyle w:val="7"/>
        <w:adjustRightInd/>
        <w:snapToGrid/>
        <w:spacing w:line="579" w:lineRule="exact"/>
        <w:ind w:firstLine="640" w:firstLineChars="200"/>
        <w:jc w:val="left"/>
        <w:rPr>
          <w:rFonts w:hint="default" w:ascii="方正小标宋_GBK" w:hAnsi="方正小标宋_GBK" w:eastAsia="方正小标宋_GBK" w:cs="方正小标宋_GBK"/>
          <w:color w:val="auto"/>
          <w:spacing w:val="-17"/>
          <w:kern w:val="2"/>
          <w:position w:val="-2"/>
          <w:sz w:val="44"/>
          <w:szCs w:val="44"/>
          <w:lang w:val="en-US" w:eastAsia="zh-CN" w:bidi="ar-SA"/>
        </w:rPr>
      </w:pPr>
      <w:r>
        <w:rPr>
          <w:rFonts w:hint="eastAsia" w:ascii="Times New Roman" w:hAnsi="Times New Roman" w:eastAsia="方正仿宋_GBK" w:cs="Times New Roman"/>
          <w:bCs/>
          <w:sz w:val="32"/>
          <w:szCs w:val="32"/>
        </w:rPr>
        <w:t>经开园区公司以市场转型和高质量发展为主线，抢抓城乡融合发展机遇，遵循“产业赋能、资本运营、人才强企”三大路径，贯彻“聚焦产业、改革创新、稳健经营”三大理念，构建产业发展新格局，打造产业发展新业态。主营业务涵盖片区综合开发、项目投资策划、产业导入及运营、房地产开发等领域。先后荣获龙泉驿区“一高地三区”先进集体、龙泉驿区先进基层党组织荣誉称号。</w:t>
      </w:r>
    </w:p>
    <w:p w14:paraId="0A7D3307">
      <w:pPr>
        <w:pStyle w:val="7"/>
        <w:adjustRightInd/>
        <w:snapToGrid/>
        <w:spacing w:line="579" w:lineRule="exact"/>
        <w:ind w:firstLine="0" w:firstLineChars="0"/>
        <w:jc w:val="left"/>
        <w:rPr>
          <w:rFonts w:hint="default" w:ascii="Times New Roman" w:hAnsi="Times New Roman" w:eastAsia="方正仿宋_GBK" w:cs="Times New Roman"/>
          <w:bCs/>
          <w:sz w:val="32"/>
          <w:szCs w:val="32"/>
          <w:lang w:val="en-US" w:eastAsia="zh-CN"/>
        </w:rPr>
      </w:pPr>
    </w:p>
    <w:p w14:paraId="4EF5E8DD">
      <w:pPr>
        <w:pStyle w:val="7"/>
        <w:adjustRightInd/>
        <w:snapToGrid/>
        <w:spacing w:line="579" w:lineRule="exact"/>
        <w:ind w:firstLine="0" w:firstLineChars="0"/>
        <w:rPr>
          <w:rFonts w:hint="default" w:ascii="方正小标宋_GBK" w:hAnsi="方正小标宋_GBK" w:eastAsia="方正小标宋_GBK" w:cs="方正小标宋_GBK"/>
          <w:color w:val="auto"/>
          <w:spacing w:val="-17"/>
          <w:kern w:val="2"/>
          <w:position w:val="-2"/>
          <w:sz w:val="44"/>
          <w:szCs w:val="44"/>
          <w:lang w:val="en-US" w:eastAsia="zh-CN" w:bidi="ar-SA"/>
        </w:rPr>
      </w:pPr>
      <w:r>
        <w:rPr>
          <w:rFonts w:hint="default" w:ascii="方正小标宋_GBK" w:hAnsi="方正小标宋_GBK" w:eastAsia="方正小标宋_GBK" w:cs="方正小标宋_GBK"/>
          <w:color w:val="auto"/>
          <w:spacing w:val="-17"/>
          <w:kern w:val="2"/>
          <w:position w:val="-2"/>
          <w:sz w:val="44"/>
          <w:szCs w:val="44"/>
          <w:lang w:val="en-US" w:eastAsia="zh-CN" w:bidi="ar-SA"/>
        </w:rPr>
        <w:t>成都经开资产管理有限公司</w:t>
      </w:r>
    </w:p>
    <w:p w14:paraId="04049458">
      <w:pPr>
        <w:pStyle w:val="7"/>
        <w:adjustRightInd/>
        <w:snapToGrid/>
        <w:spacing w:line="579" w:lineRule="exact"/>
        <w:ind w:firstLine="640" w:firstLineChars="200"/>
        <w:jc w:val="both"/>
        <w:rPr>
          <w:rFonts w:hint="default" w:ascii="Times New Roman" w:hAnsi="Times New Roman" w:eastAsia="方正仿宋_GBK" w:cs="Times New Roman"/>
          <w:bCs/>
          <w:sz w:val="32"/>
          <w:szCs w:val="32"/>
          <w:lang w:val="en-US" w:eastAsia="zh-CN"/>
        </w:rPr>
      </w:pPr>
      <w:r>
        <w:rPr>
          <w:rFonts w:hint="default" w:ascii="Times New Roman" w:hAnsi="Times New Roman" w:eastAsia="方正仿宋_GBK" w:cs="Times New Roman"/>
          <w:bCs/>
          <w:sz w:val="32"/>
          <w:szCs w:val="32"/>
          <w:lang w:val="en-US" w:eastAsia="zh-CN"/>
        </w:rPr>
        <w:t>成都经开资产管理有限公司（以下简称</w:t>
      </w:r>
      <w:r>
        <w:rPr>
          <w:rFonts w:hint="eastAsia" w:ascii="方正仿宋_GBK" w:hAnsi="方正仿宋_GBK" w:eastAsia="方正仿宋_GBK" w:cs="方正仿宋_GBK"/>
          <w:bCs/>
          <w:sz w:val="32"/>
          <w:szCs w:val="32"/>
          <w:lang w:val="en-US" w:eastAsia="zh-CN"/>
        </w:rPr>
        <w:t>“经开资产公司”）</w:t>
      </w:r>
      <w:r>
        <w:rPr>
          <w:rFonts w:hint="default" w:ascii="Times New Roman" w:hAnsi="Times New Roman" w:eastAsia="方正仿宋_GBK" w:cs="Times New Roman"/>
          <w:bCs/>
          <w:sz w:val="32"/>
          <w:szCs w:val="32"/>
          <w:lang w:val="en-US" w:eastAsia="zh-CN"/>
        </w:rPr>
        <w:t>于2020年8月由成都市经开国投工程咨询有限公司更名成立，是经开国投集团二级子公司，注册资本10亿元，资产总额达555.45亿元。公司内设6个部门，全资及参控股公司</w:t>
      </w:r>
      <w:r>
        <w:rPr>
          <w:rFonts w:hint="eastAsia" w:ascii="Times New Roman" w:eastAsia="方正仿宋_GBK" w:cs="Times New Roman"/>
          <w:bCs/>
          <w:sz w:val="32"/>
          <w:szCs w:val="32"/>
          <w:lang w:val="en-US" w:eastAsia="zh-CN"/>
        </w:rPr>
        <w:t>7</w:t>
      </w:r>
      <w:r>
        <w:rPr>
          <w:rFonts w:hint="default" w:ascii="Times New Roman" w:hAnsi="Times New Roman" w:eastAsia="方正仿宋_GBK" w:cs="Times New Roman"/>
          <w:bCs/>
          <w:sz w:val="32"/>
          <w:szCs w:val="32"/>
          <w:lang w:val="en-US" w:eastAsia="zh-CN"/>
        </w:rPr>
        <w:t>家，共有员工700余人。</w:t>
      </w:r>
    </w:p>
    <w:p w14:paraId="6649FD32">
      <w:pPr>
        <w:pStyle w:val="7"/>
        <w:adjustRightInd/>
        <w:snapToGrid/>
        <w:spacing w:line="579" w:lineRule="exact"/>
        <w:ind w:firstLine="640" w:firstLineChars="200"/>
        <w:jc w:val="left"/>
        <w:rPr>
          <w:rFonts w:hint="default" w:ascii="Times New Roman" w:hAnsi="Times New Roman" w:eastAsia="方正仿宋_GBK" w:cs="Times New Roman"/>
          <w:bCs/>
          <w:sz w:val="32"/>
          <w:szCs w:val="32"/>
          <w:lang w:val="en-US" w:eastAsia="zh-CN"/>
        </w:rPr>
      </w:pPr>
      <w:r>
        <w:rPr>
          <w:rFonts w:hint="eastAsia" w:ascii="Times New Roman" w:eastAsia="方正仿宋_GBK" w:cs="Times New Roman"/>
          <w:bCs/>
          <w:sz w:val="32"/>
          <w:szCs w:val="32"/>
          <w:lang w:val="en-US" w:eastAsia="zh-CN"/>
        </w:rPr>
        <w:t>经开资产</w:t>
      </w:r>
      <w:r>
        <w:rPr>
          <w:rFonts w:hint="default" w:ascii="Times New Roman" w:hAnsi="Times New Roman" w:eastAsia="方正仿宋_GBK" w:cs="Times New Roman"/>
          <w:bCs/>
          <w:sz w:val="32"/>
          <w:szCs w:val="32"/>
          <w:lang w:val="en-US" w:eastAsia="zh-CN"/>
        </w:rPr>
        <w:t>公司坚持党建引领，持续深化市场化运营，确立了商业资产运营商、社区综合服务商的发展定位，主营业务涵盖资产运营管理、招商服务、民生保障、项目管理，统筹推进存量资产优化、合规管理深化、人才队伍建设、安全生产等重点工作，在资产增值、城市服务、民生保障等方面积极贡献力量。</w:t>
      </w:r>
    </w:p>
    <w:p w14:paraId="10737AE9">
      <w:pPr>
        <w:pStyle w:val="7"/>
        <w:adjustRightInd/>
        <w:snapToGrid/>
        <w:spacing w:line="579" w:lineRule="exact"/>
        <w:ind w:firstLine="0" w:firstLineChars="0"/>
        <w:jc w:val="left"/>
        <w:rPr>
          <w:rFonts w:hint="default" w:ascii="Times New Roman" w:hAnsi="Times New Roman" w:eastAsia="方正仿宋_GBK" w:cs="Times New Roman"/>
          <w:b w:val="0"/>
          <w:bCs w:val="0"/>
          <w:color w:val="000000" w:themeColor="text1"/>
          <w:sz w:val="21"/>
          <w:szCs w:val="21"/>
          <w:highlight w:val="none"/>
          <w:lang w:val="en-US" w:eastAsia="zh-CN"/>
          <w14:textFill>
            <w14:solidFill>
              <w14:schemeClr w14:val="tx1"/>
            </w14:solidFill>
          </w14:textFill>
        </w:rPr>
      </w:pPr>
    </w:p>
    <w:p w14:paraId="79D00011">
      <w:pPr>
        <w:pStyle w:val="7"/>
        <w:adjustRightInd/>
        <w:snapToGrid/>
        <w:spacing w:line="579" w:lineRule="exact"/>
        <w:ind w:firstLine="0" w:firstLineChars="0"/>
        <w:rPr>
          <w:rFonts w:hint="default" w:ascii="方正小标宋_GBK" w:hAnsi="方正小标宋_GBK" w:eastAsia="方正小标宋_GBK" w:cs="方正小标宋_GBK"/>
          <w:color w:val="auto"/>
          <w:spacing w:val="-17"/>
          <w:kern w:val="2"/>
          <w:position w:val="-2"/>
          <w:sz w:val="44"/>
          <w:szCs w:val="44"/>
          <w:lang w:val="en-US" w:eastAsia="zh-CN" w:bidi="ar-SA"/>
        </w:rPr>
      </w:pPr>
      <w:r>
        <w:rPr>
          <w:rFonts w:hint="default" w:ascii="方正小标宋_GBK" w:hAnsi="方正小标宋_GBK" w:eastAsia="方正小标宋_GBK" w:cs="方正小标宋_GBK"/>
          <w:color w:val="auto"/>
          <w:spacing w:val="-17"/>
          <w:kern w:val="2"/>
          <w:position w:val="-2"/>
          <w:sz w:val="44"/>
          <w:szCs w:val="44"/>
          <w:lang w:val="en-US" w:eastAsia="zh-CN" w:bidi="ar-SA"/>
        </w:rPr>
        <w:t>成都蜀通新时代科技发展有限公司</w:t>
      </w:r>
    </w:p>
    <w:p w14:paraId="4398FB35">
      <w:pPr>
        <w:pStyle w:val="7"/>
        <w:adjustRightInd/>
        <w:snapToGrid/>
        <w:spacing w:line="579" w:lineRule="exact"/>
        <w:ind w:firstLine="640" w:firstLineChars="200"/>
        <w:jc w:val="left"/>
        <w:rPr>
          <w:rFonts w:hint="default" w:ascii="Times New Roman" w:hAnsi="Times New Roman" w:eastAsia="方正仿宋_GBK" w:cs="Times New Roman"/>
          <w:bCs/>
          <w:sz w:val="32"/>
          <w:szCs w:val="32"/>
          <w:lang w:val="en-US" w:eastAsia="zh-CN"/>
        </w:rPr>
      </w:pPr>
      <w:r>
        <w:rPr>
          <w:rFonts w:hint="default" w:ascii="Times New Roman" w:hAnsi="Times New Roman" w:eastAsia="方正仿宋_GBK" w:cs="Times New Roman"/>
          <w:bCs/>
          <w:sz w:val="32"/>
          <w:szCs w:val="32"/>
          <w:lang w:val="en-US" w:eastAsia="zh-CN"/>
        </w:rPr>
        <w:t>成都蜀通新时代科技发展有限公司（以下简称</w:t>
      </w:r>
      <w:r>
        <w:rPr>
          <w:rFonts w:hint="eastAsia" w:ascii="方正仿宋_GBK" w:hAnsi="方正仿宋_GBK" w:eastAsia="方正仿宋_GBK" w:cs="方正仿宋_GBK"/>
          <w:bCs/>
          <w:sz w:val="32"/>
          <w:szCs w:val="32"/>
          <w:lang w:val="en-US" w:eastAsia="zh-CN"/>
        </w:rPr>
        <w:t>“蜀通科技公司”）</w:t>
      </w:r>
      <w:r>
        <w:rPr>
          <w:rFonts w:hint="default" w:ascii="Times New Roman" w:hAnsi="Times New Roman" w:eastAsia="方正仿宋_GBK" w:cs="Times New Roman"/>
          <w:bCs/>
          <w:sz w:val="32"/>
          <w:szCs w:val="32"/>
          <w:lang w:val="en-US" w:eastAsia="zh-CN"/>
        </w:rPr>
        <w:t>成立于2019年2月21日，是经开国投集团三级子公司，注册资本2000万元，资产规模8000余万元。</w:t>
      </w:r>
    </w:p>
    <w:p w14:paraId="0AD77716">
      <w:pPr>
        <w:pStyle w:val="7"/>
        <w:adjustRightInd/>
        <w:snapToGrid/>
        <w:spacing w:line="579" w:lineRule="exact"/>
        <w:ind w:firstLine="640" w:firstLineChars="200"/>
        <w:jc w:val="left"/>
        <w:rPr>
          <w:rFonts w:hint="default" w:ascii="Times New Roman" w:hAnsi="Times New Roman" w:eastAsia="方正仿宋_GBK" w:cs="Times New Roman"/>
          <w:bCs/>
          <w:sz w:val="32"/>
          <w:szCs w:val="32"/>
          <w:lang w:val="en-US" w:eastAsia="zh-CN"/>
        </w:rPr>
      </w:pPr>
      <w:r>
        <w:rPr>
          <w:rFonts w:hint="eastAsia" w:ascii="方正仿宋_GBK" w:hAnsi="方正仿宋_GBK" w:eastAsia="方正仿宋_GBK" w:cs="方正仿宋_GBK"/>
          <w:bCs/>
          <w:sz w:val="32"/>
          <w:szCs w:val="32"/>
          <w:lang w:val="en-US" w:eastAsia="zh-CN"/>
        </w:rPr>
        <w:t>蜀通科技公司始终秉持“专业赋能水务、匠心守护民生”的企业理念，以保障水环境安全、提升市政服务品质为核心使命，锚定规范化运营、精细化管理、专业</w:t>
      </w:r>
      <w:r>
        <w:rPr>
          <w:rFonts w:hint="default" w:ascii="Times New Roman" w:hAnsi="Times New Roman" w:eastAsia="方正仿宋_GBK" w:cs="Times New Roman"/>
          <w:bCs/>
          <w:sz w:val="32"/>
          <w:szCs w:val="32"/>
          <w:lang w:val="en-US" w:eastAsia="zh-CN"/>
        </w:rPr>
        <w:t>化发展方向，持续强化运营管控能力与技术服务水平，主要承担现制现售饮用水、水环境污染防治服务、污水处理及其再生利用、市政设施管理等经营业务，负责龙泉驿区西河污水处理三厂的运营与管理</w:t>
      </w:r>
      <w:r>
        <w:rPr>
          <w:rFonts w:hint="eastAsia" w:ascii="Times New Roman" w:eastAsia="方正仿宋_GBK" w:cs="Times New Roman"/>
          <w:bCs/>
          <w:sz w:val="32"/>
          <w:szCs w:val="32"/>
          <w:lang w:val="en-US" w:eastAsia="zh-CN"/>
        </w:rPr>
        <w:t>，</w:t>
      </w:r>
      <w:r>
        <w:rPr>
          <w:rFonts w:hint="default" w:ascii="Times New Roman" w:hAnsi="Times New Roman" w:eastAsia="方正仿宋_GBK" w:cs="Times New Roman"/>
          <w:bCs/>
          <w:sz w:val="32"/>
          <w:szCs w:val="32"/>
          <w:lang w:val="en-US" w:eastAsia="zh-CN"/>
        </w:rPr>
        <w:t>致力于为区域生态环境改善、民生福祉提升和城市高质量发展贡献坚实力量。</w:t>
      </w:r>
    </w:p>
    <w:p w14:paraId="54CB3A64">
      <w:pPr>
        <w:pStyle w:val="7"/>
        <w:adjustRightInd/>
        <w:snapToGrid/>
        <w:spacing w:line="579" w:lineRule="exact"/>
        <w:ind w:firstLine="0" w:firstLineChars="0"/>
        <w:jc w:val="left"/>
        <w:rPr>
          <w:rFonts w:hint="default" w:ascii="方正小标宋_GBK" w:hAnsi="方正小标宋_GBK" w:eastAsia="方正小标宋_GBK" w:cs="方正小标宋_GBK"/>
          <w:color w:val="auto"/>
          <w:spacing w:val="-17"/>
          <w:kern w:val="2"/>
          <w:position w:val="-2"/>
          <w:sz w:val="44"/>
          <w:szCs w:val="44"/>
          <w:lang w:val="en-US" w:eastAsia="zh-CN" w:bidi="ar-SA"/>
        </w:rPr>
      </w:pPr>
    </w:p>
    <w:p w14:paraId="18488749">
      <w:pPr>
        <w:pStyle w:val="7"/>
        <w:adjustRightInd/>
        <w:snapToGrid/>
        <w:spacing w:line="579" w:lineRule="exact"/>
        <w:ind w:firstLine="0" w:firstLineChars="0"/>
        <w:jc w:val="center"/>
        <w:rPr>
          <w:rFonts w:hint="eastAsia" w:ascii="Times New Roman" w:hAnsi="Times New Roman" w:eastAsia="方正仿宋_GBK" w:cs="Times New Roman"/>
          <w:bCs/>
          <w:color w:val="auto"/>
          <w:kern w:val="2"/>
          <w:sz w:val="32"/>
          <w:szCs w:val="32"/>
          <w:lang w:val="en-US" w:eastAsia="zh-CN" w:bidi="ar-SA"/>
        </w:rPr>
      </w:pPr>
      <w:r>
        <w:rPr>
          <w:rFonts w:hint="default" w:ascii="方正小标宋_GBK" w:hAnsi="方正小标宋_GBK" w:eastAsia="方正小标宋_GBK" w:cs="方正小标宋_GBK"/>
          <w:color w:val="auto"/>
          <w:spacing w:val="-17"/>
          <w:kern w:val="2"/>
          <w:position w:val="-2"/>
          <w:sz w:val="44"/>
          <w:szCs w:val="44"/>
          <w:lang w:val="en-US" w:eastAsia="zh-CN" w:bidi="ar-SA"/>
        </w:rPr>
        <w:t>成都中法生态园投资发展有限公司</w:t>
      </w:r>
    </w:p>
    <w:p w14:paraId="3A9AB9E4">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outlineLvl w:val="0"/>
        <w:rPr>
          <w:rFonts w:hint="eastAsia" w:ascii="Times New Roman" w:hAnsi="Times New Roman" w:eastAsia="方正仿宋_GBK" w:cs="Times New Roman"/>
          <w:bCs/>
          <w:color w:val="auto"/>
          <w:kern w:val="2"/>
          <w:sz w:val="32"/>
          <w:szCs w:val="32"/>
          <w:lang w:val="en-US" w:eastAsia="zh-CN" w:bidi="ar-SA"/>
        </w:rPr>
      </w:pPr>
      <w:r>
        <w:rPr>
          <w:rFonts w:hint="eastAsia" w:ascii="Times New Roman" w:hAnsi="Times New Roman" w:eastAsia="方正仿宋_GBK" w:cs="Times New Roman"/>
          <w:bCs/>
          <w:color w:val="auto"/>
          <w:kern w:val="2"/>
          <w:sz w:val="32"/>
          <w:szCs w:val="32"/>
          <w:lang w:val="en-US" w:eastAsia="zh-CN" w:bidi="ar-SA"/>
        </w:rPr>
        <w:t>成都中法生态园投资发展有限公司（以下简称“中法投资公司”）成立于2018年12月，系成都经开产业投资集团有限公司下属二级公司，内设6个部门。注册资本58.41亿元，主体信用评级AA。截至2025年底，公司总资产374.34亿元。</w:t>
      </w:r>
    </w:p>
    <w:p w14:paraId="74C3ADD5">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outlineLvl w:val="0"/>
        <w:rPr>
          <w:rFonts w:hint="eastAsia" w:ascii="Times New Roman" w:hAnsi="Times New Roman" w:eastAsia="方正仿宋_GBK" w:cs="Times New Roman"/>
          <w:bCs/>
          <w:color w:val="auto"/>
          <w:kern w:val="2"/>
          <w:sz w:val="32"/>
          <w:szCs w:val="32"/>
          <w:lang w:val="en-US" w:eastAsia="zh-CN" w:bidi="ar-SA"/>
        </w:rPr>
      </w:pPr>
      <w:r>
        <w:rPr>
          <w:rFonts w:hint="eastAsia" w:ascii="Times New Roman" w:hAnsi="Times New Roman" w:eastAsia="方正仿宋_GBK" w:cs="Times New Roman"/>
          <w:bCs/>
          <w:color w:val="auto"/>
          <w:kern w:val="2"/>
          <w:sz w:val="32"/>
          <w:szCs w:val="32"/>
          <w:lang w:val="en-US" w:eastAsia="zh-CN" w:bidi="ar-SA"/>
        </w:rPr>
        <w:t>中法投资公司主要负责对国别合作平台—“中法成都生态园”实施综合开发，以城市综合运营商为发展定位，以园区综合开发运营、商业地产开发为主业，积极培育城市生活垃圾及固废处置、绿色低碳等新兴业务。近年来主要建成了天府货运大道、大运场馆改造等重点项目；包装策划了区域综合智慧能源、片区城市有机更新项目；投资建设并将自主运营区环卫中心、商业综合体等项目，获得四川省全面创新改革试验先进集体、龙泉驿区“青年突击队标兵”等荣誉。</w:t>
      </w:r>
    </w:p>
    <w:p w14:paraId="0B1382CE">
      <w:pPr>
        <w:pStyle w:val="2"/>
        <w:keepNext w:val="0"/>
        <w:keepLines w:val="0"/>
        <w:pageBreakBefore w:val="0"/>
        <w:widowControl w:val="0"/>
        <w:kinsoku/>
        <w:wordWrap/>
        <w:overflowPunct/>
        <w:topLinePunct w:val="0"/>
        <w:autoSpaceDE/>
        <w:autoSpaceDN/>
        <w:bidi w:val="0"/>
        <w:adjustRightInd/>
        <w:snapToGrid/>
        <w:spacing w:line="579" w:lineRule="exact"/>
        <w:textAlignment w:val="baseline"/>
        <w:rPr>
          <w:rFonts w:hint="eastAsia"/>
        </w:rPr>
      </w:pPr>
    </w:p>
    <w:p w14:paraId="6A3E4EBB">
      <w:pPr>
        <w:spacing w:before="215" w:line="579" w:lineRule="exact"/>
        <w:jc w:val="center"/>
        <w:outlineLvl w:val="0"/>
      </w:pPr>
      <w:r>
        <w:rPr>
          <w:rFonts w:hint="eastAsia" w:ascii="方正小标宋_GBK" w:hAnsi="方正小标宋_GBK" w:eastAsia="方正小标宋_GBK" w:cs="方正小标宋_GBK"/>
          <w:spacing w:val="-17"/>
          <w:position w:val="-2"/>
          <w:sz w:val="44"/>
          <w:szCs w:val="44"/>
        </w:rPr>
        <w:t>成都经开医疗投资集团有限公司</w:t>
      </w:r>
    </w:p>
    <w:p w14:paraId="58FE3064">
      <w:pPr>
        <w:pStyle w:val="7"/>
        <w:adjustRightInd/>
        <w:snapToGrid/>
        <w:spacing w:line="579" w:lineRule="exact"/>
        <w:ind w:firstLine="640" w:firstLineChars="0"/>
        <w:jc w:val="both"/>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成都经开医疗投资集团有限公司（</w:t>
      </w:r>
      <w:r>
        <w:rPr>
          <w:rFonts w:hint="eastAsia" w:ascii="Times New Roman" w:hAnsi="Times New Roman" w:eastAsia="方正仿宋_GBK" w:cs="Times New Roman"/>
          <w:bCs/>
          <w:color w:val="auto"/>
          <w:kern w:val="2"/>
          <w:sz w:val="32"/>
          <w:szCs w:val="32"/>
          <w:lang w:val="en-US" w:eastAsia="zh-CN" w:bidi="ar-SA"/>
        </w:rPr>
        <w:t>以下</w:t>
      </w:r>
      <w:r>
        <w:rPr>
          <w:rFonts w:hint="eastAsia" w:ascii="Times New Roman" w:hAnsi="Times New Roman" w:eastAsia="方正仿宋_GBK" w:cs="Times New Roman"/>
          <w:kern w:val="2"/>
          <w:sz w:val="32"/>
          <w:szCs w:val="32"/>
          <w:lang w:val="en-US" w:eastAsia="zh-CN" w:bidi="ar-SA"/>
        </w:rPr>
        <w:t>简称“经开医投集团”）于2022年12月改组成立，系成都经开产业投资集团有限公司下属二级公司，内设4个部门，下设项目公司1家，合资公司2家。公司注册资本金2亿元，截至2025年底，资产总额2.47亿元。</w:t>
      </w:r>
    </w:p>
    <w:p w14:paraId="468C98E5">
      <w:pPr>
        <w:pStyle w:val="7"/>
        <w:adjustRightInd/>
        <w:snapToGrid/>
        <w:spacing w:line="579" w:lineRule="exact"/>
        <w:ind w:firstLine="640" w:firstLineChars="0"/>
        <w:jc w:val="both"/>
        <w:rPr>
          <w:rFonts w:hint="eastAsia" w:ascii="方正小标宋_GBK" w:hAnsi="方正小标宋_GBK" w:eastAsia="方正小标宋_GBK" w:cs="方正小标宋_GBK"/>
          <w:color w:val="auto"/>
          <w:spacing w:val="-17"/>
          <w:position w:val="-2"/>
          <w:sz w:val="44"/>
          <w:szCs w:val="44"/>
        </w:rPr>
      </w:pPr>
      <w:r>
        <w:rPr>
          <w:rFonts w:hint="eastAsia" w:ascii="Times New Roman" w:hAnsi="Times New Roman" w:eastAsia="方正仿宋_GBK" w:cs="Times New Roman"/>
          <w:kern w:val="2"/>
          <w:sz w:val="32"/>
          <w:szCs w:val="32"/>
          <w:lang w:val="en-US" w:eastAsia="zh-CN" w:bidi="ar-SA"/>
        </w:rPr>
        <w:t>经开医投集团以区域大健康产业发展平台战略定位为指引，以推进龙泉驿区医疗和健康事业发展为核心，围绕“笃方向、抓资源、夯基础、促改革、提质量”战略方针，以“集中化、专业化、品牌化”为方向，深入推进国企改革和市场化转型发展，做优做强健康养老产业、专科医疗机构、婴幼儿托育、医疗供应链及服务等产业，着力打造具有影响力的大健康产业投资集团，成为推动龙泉驿区医疗和健康产业高质量发展的中坚力量。</w:t>
      </w:r>
    </w:p>
    <w:p w14:paraId="785D3D66">
      <w:pPr>
        <w:pStyle w:val="2"/>
        <w:keepNext w:val="0"/>
        <w:keepLines w:val="0"/>
        <w:pageBreakBefore w:val="0"/>
        <w:widowControl w:val="0"/>
        <w:kinsoku/>
        <w:wordWrap/>
        <w:overflowPunct/>
        <w:topLinePunct w:val="0"/>
        <w:autoSpaceDE/>
        <w:autoSpaceDN/>
        <w:bidi w:val="0"/>
        <w:adjustRightInd/>
        <w:snapToGrid/>
        <w:spacing w:line="579" w:lineRule="exact"/>
        <w:textAlignment w:val="baseline"/>
        <w:rPr>
          <w:rFonts w:hint="eastAsia"/>
        </w:rPr>
      </w:pPr>
    </w:p>
    <w:p w14:paraId="409AF28B">
      <w:pPr>
        <w:spacing w:before="215" w:line="579" w:lineRule="exact"/>
        <w:jc w:val="center"/>
        <w:outlineLvl w:val="0"/>
        <w:rPr>
          <w:rFonts w:hint="eastAsia" w:ascii="方正小标宋_GBK" w:hAnsi="方正小标宋_GBK" w:eastAsia="方正小标宋_GBK" w:cs="方正小标宋_GBK"/>
          <w:spacing w:val="-17"/>
          <w:position w:val="-2"/>
          <w:sz w:val="44"/>
          <w:szCs w:val="44"/>
        </w:rPr>
      </w:pPr>
      <w:r>
        <w:rPr>
          <w:rFonts w:hint="eastAsia" w:ascii="方正小标宋_GBK" w:hAnsi="方正小标宋_GBK" w:eastAsia="方正小标宋_GBK" w:cs="方正小标宋_GBK"/>
          <w:spacing w:val="-17"/>
          <w:position w:val="-2"/>
          <w:sz w:val="44"/>
          <w:szCs w:val="44"/>
        </w:rPr>
        <w:t>成都经开陆港联航投资发展有限公司</w:t>
      </w:r>
    </w:p>
    <w:p w14:paraId="4A5E6A24">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outlineLvl w:val="0"/>
        <w:rPr>
          <w:rFonts w:hint="eastAsia" w:ascii="Times New Roman" w:hAnsi="Times New Roman" w:eastAsia="方正仿宋_GBK" w:cs="Times New Roman"/>
          <w:bCs/>
          <w:color w:val="auto"/>
          <w:kern w:val="2"/>
          <w:sz w:val="32"/>
          <w:szCs w:val="32"/>
          <w:lang w:val="en-US" w:eastAsia="zh-CN" w:bidi="ar-SA"/>
        </w:rPr>
      </w:pPr>
      <w:r>
        <w:rPr>
          <w:rFonts w:hint="eastAsia" w:ascii="Times New Roman" w:hAnsi="Times New Roman" w:eastAsia="方正仿宋_GBK" w:cs="Times New Roman"/>
          <w:bCs/>
          <w:color w:val="auto"/>
          <w:kern w:val="2"/>
          <w:sz w:val="32"/>
          <w:szCs w:val="32"/>
          <w:lang w:val="en-US" w:eastAsia="zh-CN" w:bidi="ar-SA"/>
        </w:rPr>
        <w:t>成都经开陆港联航投资发展有限公司（以下简称“经开港联公司”）于2025年7月改组成立，系成都经开产业投资集团有限公司下属二级公司，内设5个部门，定位为智慧供应链与综合物流协同的投资运营商、低空经济产业投资运营与服务商，注册资本金23.93亿元，总资产56亿元，参股四川西部陆海新通道供应链管理有限公司。</w:t>
      </w:r>
    </w:p>
    <w:p w14:paraId="502FD560">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outlineLvl w:val="0"/>
        <w:rPr>
          <w:rFonts w:hint="eastAsia" w:ascii="Times New Roman" w:hAnsi="Times New Roman" w:eastAsia="方正仿宋_GBK" w:cs="Times New Roman"/>
          <w:bCs/>
          <w:color w:val="auto"/>
          <w:kern w:val="2"/>
          <w:sz w:val="32"/>
          <w:szCs w:val="32"/>
          <w:lang w:val="en-US" w:eastAsia="zh-CN" w:bidi="ar-SA"/>
        </w:rPr>
      </w:pPr>
      <w:r>
        <w:rPr>
          <w:rFonts w:hint="eastAsia" w:ascii="Times New Roman" w:hAnsi="Times New Roman" w:eastAsia="方正仿宋_GBK" w:cs="Times New Roman"/>
          <w:bCs/>
          <w:color w:val="auto"/>
          <w:kern w:val="2"/>
          <w:sz w:val="32"/>
          <w:szCs w:val="32"/>
          <w:lang w:val="en-US" w:eastAsia="zh-CN" w:bidi="ar-SA"/>
        </w:rPr>
        <w:t>经开港联公司业务领域主要聚焦智慧供应链服务、低空经济产业投资运营与服务、综合物流服务三大业务板块。低空经济方面，主要聚焦低空应用场景打造，低空基础设施投资建设运营，低空生产性服务三大业务板块。目前已实现无水港信息系统及集装箱网络货运平台打造，水蜜桃吊运等典型低空应用场景打造。经开港联公司作为经开产投集团布局新兴产业的代表，抢抓现代物流、低空经济的市场机遇，加快推动市场化转型。</w:t>
      </w:r>
    </w:p>
    <w:p w14:paraId="403ABB62">
      <w:pPr>
        <w:pStyle w:val="2"/>
        <w:keepNext w:val="0"/>
        <w:keepLines w:val="0"/>
        <w:pageBreakBefore w:val="0"/>
        <w:widowControl w:val="0"/>
        <w:kinsoku/>
        <w:wordWrap/>
        <w:overflowPunct/>
        <w:topLinePunct w:val="0"/>
        <w:autoSpaceDE/>
        <w:autoSpaceDN/>
        <w:bidi w:val="0"/>
        <w:adjustRightInd/>
        <w:snapToGrid/>
        <w:spacing w:line="579" w:lineRule="exact"/>
        <w:textAlignment w:val="baseline"/>
        <w:rPr>
          <w:rFonts w:hint="eastAsia"/>
        </w:rPr>
      </w:pPr>
    </w:p>
    <w:p w14:paraId="287C532A">
      <w:pPr>
        <w:spacing w:before="215" w:line="579" w:lineRule="exact"/>
        <w:jc w:val="center"/>
        <w:outlineLvl w:val="0"/>
        <w:rPr>
          <w:rFonts w:ascii="Times New Roman" w:hAnsi="Times New Roman" w:eastAsia="方正仿宋_GBK" w:cs="Times New Roman"/>
          <w:sz w:val="32"/>
          <w:szCs w:val="32"/>
        </w:rPr>
      </w:pPr>
      <w:r>
        <w:rPr>
          <w:rFonts w:hint="eastAsia" w:ascii="方正小标宋_GBK" w:hAnsi="方正小标宋_GBK" w:eastAsia="方正小标宋_GBK" w:cs="方正小标宋_GBK"/>
          <w:spacing w:val="-17"/>
          <w:position w:val="-2"/>
          <w:sz w:val="44"/>
          <w:szCs w:val="44"/>
        </w:rPr>
        <w:t>成都市兴贤人才咨询服务有限责任公司</w:t>
      </w:r>
    </w:p>
    <w:p w14:paraId="77EB9F10">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outlineLvl w:val="0"/>
        <w:rPr>
          <w:rFonts w:hint="eastAsia" w:ascii="Times New Roman" w:hAnsi="Times New Roman" w:eastAsia="方正仿宋_GBK" w:cs="Times New Roman"/>
          <w:b w:val="0"/>
          <w:bCs/>
          <w:color w:val="auto"/>
          <w:kern w:val="2"/>
          <w:sz w:val="32"/>
          <w:szCs w:val="32"/>
          <w:lang w:val="en-US" w:eastAsia="zh-CN" w:bidi="ar-SA"/>
        </w:rPr>
      </w:pPr>
      <w:r>
        <w:rPr>
          <w:rFonts w:hint="eastAsia" w:ascii="Times New Roman" w:hAnsi="Times New Roman" w:eastAsia="方正仿宋_GBK" w:cs="Times New Roman"/>
          <w:b w:val="0"/>
          <w:bCs/>
          <w:color w:val="auto"/>
          <w:kern w:val="2"/>
          <w:sz w:val="32"/>
          <w:szCs w:val="32"/>
          <w:lang w:val="en-US" w:eastAsia="zh-CN" w:bidi="ar-SA"/>
        </w:rPr>
        <w:t>成都市兴贤人才咨询服务有限责任公司（以下简称“兴贤人才公司”）成立于2007年，系成都经开产业投资集团有限公司下属二级公司，内设5个部门。注册资本200万元，资产规模2.8亿元，核心主业为租赁和商务服务。</w:t>
      </w:r>
    </w:p>
    <w:p w14:paraId="4CC006C5">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outlineLvl w:val="0"/>
        <w:rPr>
          <w:rFonts w:hint="eastAsia" w:ascii="Times New Roman" w:hAnsi="Times New Roman" w:eastAsia="方正仿宋_GBK" w:cs="Times New Roman"/>
          <w:b w:val="0"/>
          <w:bCs/>
          <w:color w:val="auto"/>
          <w:kern w:val="2"/>
          <w:sz w:val="32"/>
          <w:szCs w:val="32"/>
          <w:lang w:val="en-US" w:eastAsia="zh-CN" w:bidi="ar-SA"/>
        </w:rPr>
      </w:pPr>
      <w:r>
        <w:rPr>
          <w:rFonts w:hint="eastAsia" w:ascii="Times New Roman" w:hAnsi="Times New Roman" w:eastAsia="方正仿宋_GBK" w:cs="Times New Roman"/>
          <w:b w:val="0"/>
          <w:bCs/>
          <w:color w:val="auto"/>
          <w:kern w:val="2"/>
          <w:sz w:val="32"/>
          <w:szCs w:val="32"/>
          <w:lang w:val="en-US" w:eastAsia="zh-CN" w:bidi="ar-SA"/>
        </w:rPr>
        <w:t>兴贤人才公司以“成为客户信赖的HR服务商”为愿景，践行“服务人才、服务产业、服务社会”使命，秉持“兴贤育才，唯才是举”核心价值观与“专一、专注、专业”企业精神。公司服务党政机关、企事业单位300余家，年服务8万余人次，提供人才派遣、人力资源服务外包、中高端人才寻访、人才测评、人才招聘、档案整理与托管等全链条人力资源服务。作为人社部人力资源市场“一线观察”项目信息采集点，公司先后荣获四川省诚信示范企业、省人力资源服务业诚信服务示范机构、成都市AAAAA级模范劳动关系和谐企业、成都市人力资源服务骨干企业等多项荣誉，全力为龙泉驿区经济社会高质量发展提供人才支撑。</w:t>
      </w:r>
    </w:p>
    <w:p w14:paraId="6682028C">
      <w:pPr>
        <w:keepNext w:val="0"/>
        <w:keepLines w:val="0"/>
        <w:pageBreakBefore w:val="0"/>
        <w:widowControl w:val="0"/>
        <w:kinsoku/>
        <w:wordWrap/>
        <w:overflowPunct/>
        <w:topLinePunct w:val="0"/>
        <w:autoSpaceDE/>
        <w:autoSpaceDN/>
        <w:bidi w:val="0"/>
        <w:adjustRightInd/>
        <w:snapToGrid/>
        <w:spacing w:line="579" w:lineRule="exact"/>
        <w:jc w:val="left"/>
        <w:textAlignment w:val="auto"/>
        <w:outlineLvl w:val="0"/>
        <w:rPr>
          <w:rFonts w:hint="eastAsia" w:ascii="方正小标宋_GBK" w:hAnsi="方正小标宋_GBK" w:eastAsia="方正小标宋_GBK" w:cs="方正小标宋_GBK"/>
          <w:color w:val="auto"/>
          <w:spacing w:val="-17"/>
          <w:position w:val="-2"/>
          <w:sz w:val="44"/>
          <w:szCs w:val="44"/>
        </w:rPr>
      </w:pPr>
    </w:p>
    <w:p w14:paraId="36A2B0B0">
      <w:pPr>
        <w:spacing w:before="215" w:line="579" w:lineRule="exact"/>
        <w:jc w:val="center"/>
        <w:outlineLvl w:val="0"/>
        <w:rPr>
          <w:rFonts w:hint="eastAsia" w:ascii="方正小标宋_GBK" w:hAnsi="方正小标宋_GBK" w:eastAsia="方正小标宋_GBK" w:cs="方正小标宋_GBK"/>
          <w:color w:val="auto"/>
          <w:spacing w:val="-17"/>
          <w:position w:val="-2"/>
          <w:sz w:val="44"/>
          <w:szCs w:val="44"/>
        </w:rPr>
      </w:pPr>
      <w:r>
        <w:rPr>
          <w:rFonts w:hint="eastAsia" w:ascii="方正小标宋_GBK" w:hAnsi="方正小标宋_GBK" w:eastAsia="方正小标宋_GBK" w:cs="方正小标宋_GBK"/>
          <w:color w:val="auto"/>
          <w:spacing w:val="-17"/>
          <w:position w:val="-2"/>
          <w:sz w:val="44"/>
          <w:szCs w:val="44"/>
        </w:rPr>
        <w:t>成都经开文旅发展有限公司</w:t>
      </w:r>
    </w:p>
    <w:p w14:paraId="0F3CB2FD">
      <w:pPr>
        <w:topLinePunct/>
        <w:spacing w:line="579" w:lineRule="exact"/>
        <w:ind w:firstLine="640" w:firstLineChars="200"/>
        <w:rPr>
          <w:rFonts w:hint="eastAsia" w:ascii="Times New Roman" w:hAnsi="Times New Roman" w:eastAsia="方正仿宋_GBK" w:cs="Times New Roman"/>
          <w:color w:val="auto"/>
          <w:kern w:val="0"/>
          <w:sz w:val="32"/>
          <w:szCs w:val="32"/>
          <w:highlight w:val="none"/>
          <w:lang w:val="en-US" w:eastAsia="zh-CN"/>
        </w:rPr>
      </w:pPr>
      <w:r>
        <w:rPr>
          <w:rFonts w:hint="eastAsia" w:ascii="Times New Roman" w:hAnsi="Times New Roman" w:eastAsia="方正仿宋_GBK" w:cs="Times New Roman"/>
          <w:color w:val="auto"/>
          <w:kern w:val="0"/>
          <w:sz w:val="32"/>
          <w:szCs w:val="32"/>
          <w:highlight w:val="none"/>
          <w:lang w:val="en-US" w:eastAsia="zh-CN"/>
        </w:rPr>
        <w:t>成都经开文旅发展有限公司（以下简称“经开文旅公司”）成立于2020年12月，</w:t>
      </w:r>
      <w:r>
        <w:rPr>
          <w:rFonts w:hint="eastAsia" w:ascii="Times New Roman" w:hAnsi="Times New Roman" w:eastAsia="方正仿宋_GBK" w:cs="Times New Roman"/>
          <w:b w:val="0"/>
          <w:bCs/>
          <w:color w:val="auto"/>
          <w:kern w:val="2"/>
          <w:sz w:val="32"/>
          <w:szCs w:val="32"/>
          <w:lang w:val="en-US" w:eastAsia="zh-CN" w:bidi="ar-SA"/>
        </w:rPr>
        <w:t>系成都经开产业投资集团有限公司下属二级公司</w:t>
      </w:r>
      <w:r>
        <w:rPr>
          <w:rFonts w:hint="eastAsia" w:ascii="Times New Roman" w:hAnsi="Times New Roman" w:eastAsia="方正仿宋_GBK" w:cs="Times New Roman"/>
          <w:color w:val="auto"/>
          <w:kern w:val="0"/>
          <w:sz w:val="32"/>
          <w:szCs w:val="32"/>
          <w:highlight w:val="none"/>
          <w:lang w:val="en-US" w:eastAsia="zh-CN"/>
        </w:rPr>
        <w:t>，内设7个部门，注册资本1.95亿元，资产规模85.97亿元。</w:t>
      </w:r>
    </w:p>
    <w:p w14:paraId="2D2C5BD3">
      <w:pPr>
        <w:topLinePunct/>
        <w:spacing w:line="579" w:lineRule="exact"/>
        <w:ind w:firstLine="640" w:firstLineChars="200"/>
        <w:rPr>
          <w:rFonts w:hint="eastAsia" w:ascii="Times New Roman" w:hAnsi="Times New Roman" w:eastAsia="方正仿宋_GBK" w:cs="Times New Roman"/>
          <w:color w:val="auto"/>
          <w:kern w:val="0"/>
          <w:sz w:val="32"/>
          <w:szCs w:val="32"/>
          <w:lang w:val="en-US" w:eastAsia="zh-CN"/>
        </w:rPr>
      </w:pPr>
      <w:r>
        <w:rPr>
          <w:rFonts w:hint="eastAsia" w:ascii="Times New Roman" w:hAnsi="Times New Roman" w:eastAsia="方正仿宋_GBK" w:cs="Times New Roman"/>
          <w:color w:val="auto"/>
          <w:kern w:val="0"/>
          <w:sz w:val="32"/>
          <w:szCs w:val="32"/>
          <w:highlight w:val="none"/>
          <w:lang w:val="en-US" w:eastAsia="zh-CN"/>
        </w:rPr>
        <w:t>经开文旅公司致力于成为西部城市文旅融合发展引领者，大力践行“文旅融合大平台，公园城市运营商，美好生活引领者”的企业使命，现已构建以景区运营、文体赛事、酒店管理为核心，研学旅游、营销策划、音乐演艺为配套支撑的“3+3”业务体系，实现主辅业态融合协同、统筹发展。运营管理世界大运公园、东安湖公园、驿马河公园、东安书院、文化艺术中心、东安湖剧院、大运博物馆、区城市展示中心、在驿东安大酒店、经开铭臻国际大酒店等优质文商旅体项目，先后荣获成都市五四青年奖章集体、成都市群众体育工作表现突出单位等多项荣誉。</w:t>
      </w:r>
    </w:p>
    <w:p w14:paraId="23D3DBD6">
      <w:pPr>
        <w:keepNext w:val="0"/>
        <w:keepLines w:val="0"/>
        <w:pageBreakBefore w:val="0"/>
        <w:widowControl w:val="0"/>
        <w:kinsoku/>
        <w:wordWrap/>
        <w:overflowPunct/>
        <w:topLinePunct/>
        <w:autoSpaceDE/>
        <w:autoSpaceDN/>
        <w:bidi w:val="0"/>
        <w:adjustRightInd/>
        <w:snapToGrid/>
        <w:spacing w:line="579" w:lineRule="exact"/>
        <w:ind w:firstLine="0" w:firstLineChars="0"/>
        <w:textAlignment w:val="auto"/>
        <w:rPr>
          <w:rFonts w:hint="eastAsia" w:ascii="Times New Roman" w:hAnsi="Times New Roman" w:eastAsia="方正仿宋_GBK" w:cs="Times New Roman"/>
          <w:color w:val="auto"/>
          <w:kern w:val="0"/>
          <w:sz w:val="32"/>
          <w:szCs w:val="32"/>
          <w:lang w:val="en-US" w:eastAsia="zh-CN"/>
        </w:rPr>
      </w:pPr>
    </w:p>
    <w:p w14:paraId="2BB37582">
      <w:pPr>
        <w:topLinePunct/>
        <w:spacing w:line="579" w:lineRule="exact"/>
        <w:jc w:val="center"/>
        <w:rPr>
          <w:rFonts w:hint="eastAsia" w:ascii="方正小标宋_GBK" w:hAnsi="方正小标宋_GBK" w:eastAsia="方正小标宋_GBK" w:cs="方正小标宋_GBK"/>
          <w:color w:val="auto"/>
          <w:spacing w:val="-17"/>
          <w:kern w:val="2"/>
          <w:position w:val="-2"/>
          <w:sz w:val="44"/>
          <w:szCs w:val="44"/>
          <w:lang w:val="en-US" w:eastAsia="zh-CN" w:bidi="ar-SA"/>
        </w:rPr>
      </w:pPr>
      <w:r>
        <w:rPr>
          <w:rFonts w:hint="eastAsia" w:ascii="方正小标宋_GBK" w:hAnsi="方正小标宋_GBK" w:eastAsia="方正小标宋_GBK" w:cs="方正小标宋_GBK"/>
          <w:color w:val="auto"/>
          <w:spacing w:val="-17"/>
          <w:kern w:val="2"/>
          <w:position w:val="-2"/>
          <w:sz w:val="44"/>
          <w:szCs w:val="44"/>
          <w:lang w:val="en-US" w:eastAsia="zh-CN" w:bidi="ar-SA"/>
        </w:rPr>
        <w:t>成都市龙泉现代农业投资有限公司</w:t>
      </w:r>
    </w:p>
    <w:p w14:paraId="5F0460AC">
      <w:pPr>
        <w:spacing w:line="579" w:lineRule="exact"/>
        <w:ind w:firstLine="640" w:firstLineChars="200"/>
        <w:rPr>
          <w:rFonts w:hint="eastAsia" w:ascii="Times New Roman" w:hAnsi="Times New Roman" w:eastAsia="方正仿宋_GBK" w:cs="Times New Roman"/>
          <w:color w:val="auto"/>
          <w:kern w:val="0"/>
          <w:sz w:val="32"/>
          <w:szCs w:val="32"/>
          <w:lang w:val="en-US" w:eastAsia="zh-CN"/>
        </w:rPr>
      </w:pPr>
      <w:r>
        <w:rPr>
          <w:rFonts w:hint="eastAsia" w:ascii="Times New Roman" w:hAnsi="Times New Roman" w:eastAsia="方正仿宋_GBK" w:cs="Times New Roman"/>
          <w:color w:val="auto"/>
          <w:kern w:val="0"/>
          <w:sz w:val="32"/>
          <w:szCs w:val="32"/>
          <w:lang w:val="en-US" w:eastAsia="zh-CN"/>
        </w:rPr>
        <w:t>成都市龙泉现代农业投资有限公司（以下简称“农投公司”）成立于2007年12月，系成都兴东乡村发展集团有限公司控股子公司，内设4个部门，股权结构为成都兴东乡村发展集团有限公司持股90%、四川省财政厅持股10%。公司注册资本20.53亿元，资产规模298.91亿元。</w:t>
      </w:r>
    </w:p>
    <w:p w14:paraId="56026479">
      <w:pPr>
        <w:spacing w:line="579" w:lineRule="exact"/>
        <w:ind w:firstLine="640" w:firstLineChars="200"/>
        <w:rPr>
          <w:rFonts w:hint="eastAsia" w:ascii="Times New Roman" w:hAnsi="Times New Roman" w:eastAsia="方正仿宋_GBK" w:cs="Times New Roman"/>
          <w:color w:val="auto"/>
          <w:kern w:val="0"/>
          <w:sz w:val="32"/>
          <w:szCs w:val="32"/>
          <w:lang w:val="en-US" w:eastAsia="zh-CN"/>
        </w:rPr>
      </w:pPr>
      <w:r>
        <w:rPr>
          <w:rFonts w:hint="eastAsia" w:ascii="Times New Roman" w:hAnsi="Times New Roman" w:eastAsia="方正仿宋_GBK" w:cs="Times New Roman"/>
          <w:color w:val="auto"/>
          <w:kern w:val="0"/>
          <w:sz w:val="32"/>
          <w:szCs w:val="32"/>
          <w:lang w:val="en-US" w:eastAsia="zh-CN"/>
        </w:rPr>
        <w:t>农投公司定位为区域农业产业投资运营主体，聚焦农用地资源盘活与现代农业产业化发展。主营业务涵盖土地、商铺等资产资源管理，农用地开发利用，粮油种植、水产及畜禽养殖，农产品研发、收购与加工，仓储、农机配套服务，农资经营、智慧农业运营、农业园区管理，统筹城乡生态移民项目实施、政策性农业保险相关业务。公司统筹运营各类土地及经营性存量资产。2022年，公司同安丽阳现代农业产业示范园区获评成都市三星级现代农业园区；2025年，在成都市第三届水稻绿色高产挑战赛中斩获铜奖、区县先锋奖。</w:t>
      </w:r>
    </w:p>
    <w:p w14:paraId="12B5B4C2">
      <w:pPr>
        <w:pStyle w:val="2"/>
        <w:keepNext w:val="0"/>
        <w:keepLines w:val="0"/>
        <w:pageBreakBefore w:val="0"/>
        <w:widowControl w:val="0"/>
        <w:kinsoku/>
        <w:wordWrap/>
        <w:overflowPunct/>
        <w:topLinePunct w:val="0"/>
        <w:autoSpaceDE/>
        <w:autoSpaceDN/>
        <w:bidi w:val="0"/>
        <w:adjustRightInd/>
        <w:snapToGrid/>
        <w:spacing w:line="579" w:lineRule="exact"/>
        <w:textAlignment w:val="baseline"/>
      </w:pPr>
    </w:p>
    <w:p w14:paraId="1478384B">
      <w:pPr>
        <w:topLinePunct/>
        <w:spacing w:line="579" w:lineRule="exact"/>
        <w:jc w:val="center"/>
        <w:rPr>
          <w:rFonts w:hint="eastAsia" w:ascii="方正小标宋_GBK" w:hAnsi="方正小标宋_GBK" w:eastAsia="方正小标宋_GBK" w:cs="方正小标宋_GBK"/>
          <w:color w:val="auto"/>
          <w:spacing w:val="-17"/>
          <w:kern w:val="2"/>
          <w:position w:val="-2"/>
          <w:sz w:val="44"/>
          <w:szCs w:val="44"/>
          <w:lang w:val="en-US" w:eastAsia="zh-CN" w:bidi="ar-SA"/>
        </w:rPr>
      </w:pPr>
      <w:r>
        <w:rPr>
          <w:rFonts w:hint="eastAsia" w:ascii="方正小标宋_GBK" w:hAnsi="方正小标宋_GBK" w:eastAsia="方正小标宋_GBK" w:cs="方正小标宋_GBK"/>
          <w:color w:val="auto"/>
          <w:spacing w:val="-17"/>
          <w:kern w:val="2"/>
          <w:position w:val="-2"/>
          <w:sz w:val="44"/>
          <w:szCs w:val="44"/>
          <w:lang w:val="en-US" w:eastAsia="zh-CN" w:bidi="ar-SA"/>
        </w:rPr>
        <w:t>成都经开龙安信息科技服务有限公司</w:t>
      </w:r>
    </w:p>
    <w:p w14:paraId="485C538A">
      <w:pPr>
        <w:spacing w:line="579" w:lineRule="exact"/>
        <w:ind w:firstLine="640" w:firstLineChars="200"/>
        <w:rPr>
          <w:rFonts w:hint="eastAsia" w:ascii="Times New Roman" w:hAnsi="Times New Roman" w:eastAsia="方正仿宋_GBK" w:cs="Times New Roman"/>
          <w:color w:val="auto"/>
          <w:kern w:val="0"/>
          <w:sz w:val="32"/>
          <w:szCs w:val="32"/>
          <w:lang w:val="en-US" w:eastAsia="zh-CN"/>
        </w:rPr>
      </w:pPr>
      <w:r>
        <w:rPr>
          <w:rFonts w:hint="eastAsia" w:ascii="Times New Roman" w:hAnsi="Times New Roman" w:eastAsia="方正仿宋_GBK" w:cs="Times New Roman"/>
          <w:color w:val="auto"/>
          <w:kern w:val="0"/>
          <w:sz w:val="32"/>
          <w:szCs w:val="32"/>
          <w:lang w:val="en-US" w:eastAsia="zh-CN"/>
        </w:rPr>
        <w:t>成都经开龙安信息科技服务有限公司（以下简称“经开龙安公司”）于2019年12月12日正式成立，由成都经开资本投资集团有限公司出资设立，注册资本3000万元。公司依托经开产融合作平台、区“惠蓉贷”服务中心、区科技金融协会三大载体，聚焦企业金融全生命周期，构建数字化科技金融服务体系，助力龙泉驿区产业结构调整、科技创新与产业链提升。</w:t>
      </w:r>
    </w:p>
    <w:p w14:paraId="7419DEF3">
      <w:pPr>
        <w:spacing w:line="579" w:lineRule="exact"/>
        <w:ind w:firstLine="640" w:firstLineChars="200"/>
        <w:rPr>
          <w:rFonts w:hint="eastAsia" w:ascii="Times New Roman" w:hAnsi="Times New Roman" w:eastAsia="方正仿宋_GBK" w:cs="Times New Roman"/>
          <w:color w:val="auto"/>
          <w:kern w:val="0"/>
          <w:sz w:val="32"/>
          <w:szCs w:val="32"/>
          <w:lang w:val="en-US" w:eastAsia="zh-CN"/>
        </w:rPr>
      </w:pPr>
      <w:r>
        <w:rPr>
          <w:rFonts w:hint="eastAsia" w:ascii="Times New Roman" w:hAnsi="Times New Roman" w:eastAsia="方正仿宋_GBK" w:cs="Times New Roman"/>
          <w:color w:val="auto"/>
          <w:kern w:val="0"/>
          <w:sz w:val="32"/>
          <w:szCs w:val="32"/>
          <w:lang w:val="en-US" w:eastAsia="zh-CN"/>
        </w:rPr>
        <w:t>经开龙安公司主营金融信息、信息技术、政策申报、调研咨询等业务。运营的经开产融合作平台入驻金融机构42家、上线产品218个；“惠蓉贷”服务中心落实市级普惠信贷工程，提供一站式融资服务；科技金融协会拥有会员单位90余家，开展政策赋能、供需对接等服务。公司服务成效获得多方肯定，2021年作为优秀代表接受成都电视台专访，2022年服务案例获人民日报、成都日报报道，2021年、2022年“惠蓉贷”工作连续获评先进，2023年该项工作综合评分居成都各区县第二位，创历史佳绩。</w:t>
      </w:r>
    </w:p>
    <w:sectPr>
      <w:footerReference r:id="rId3" w:type="default"/>
      <w:pgSz w:w="11907" w:h="16839"/>
      <w:pgMar w:top="2098" w:right="1474" w:bottom="1984" w:left="1588" w:header="0" w:footer="1701" w:gutter="0"/>
      <w:pgNumType w:fmt="decimal"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decorative"/>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S Sans Serif">
    <w:altName w:val="Sitka Text"/>
    <w:panose1 w:val="00000000000000000000"/>
    <w:charset w:val="00"/>
    <w:family w:val="swiss"/>
    <w:pitch w:val="default"/>
    <w:sig w:usb0="00000000" w:usb1="00000000" w:usb2="00000000" w:usb3="00000000" w:csb0="00000001" w:csb1="00000000"/>
  </w:font>
  <w:font w:name="Sitka Text">
    <w:panose1 w:val="00000000000000000000"/>
    <w:charset w:val="00"/>
    <w:family w:val="auto"/>
    <w:pitch w:val="default"/>
    <w:sig w:usb0="A00002EF" w:usb1="4000204B" w:usb2="00000000" w:usb3="00000000" w:csb0="2000019F" w:csb1="00000000"/>
  </w:font>
  <w:font w:name="方正小标宋简体">
    <w:panose1 w:val="03000509000000000000"/>
    <w:charset w:val="86"/>
    <w:family w:val="script"/>
    <w:pitch w:val="default"/>
    <w:sig w:usb0="00000001" w:usb1="080E0000" w:usb2="00000000" w:usb3="00000000" w:csb0="00040000" w:csb1="00000000"/>
  </w:font>
  <w:font w:name="@宋体">
    <w:panose1 w:val="02010600030101010101"/>
    <w:charset w:val="86"/>
    <w:family w:val="auto"/>
    <w:pitch w:val="default"/>
    <w:sig w:usb0="00000203" w:usb1="288F0000" w:usb2="00000006" w:usb3="00000000" w:csb0="00040001" w:csb1="00000000"/>
  </w:font>
  <w:font w:name="方正仿宋_GBK">
    <w:panose1 w:val="03000509000000000000"/>
    <w:charset w:val="86"/>
    <w:family w:val="script"/>
    <w:pitch w:val="default"/>
    <w:sig w:usb0="00000001" w:usb1="080E0000" w:usb2="00000000" w:usb3="00000000" w:csb0="00040000" w:csb1="00000000"/>
    <w:embedRegular r:id="rId1" w:fontKey="{FA5A970E-00F5-455E-AEB7-A88626A3765D}"/>
  </w:font>
  <w:font w:name="方正小标宋_GBK">
    <w:panose1 w:val="03000509000000000000"/>
    <w:charset w:val="86"/>
    <w:family w:val="auto"/>
    <w:pitch w:val="default"/>
    <w:sig w:usb0="00000001" w:usb1="080E0000" w:usb2="00000000" w:usb3="00000000" w:csb0="00040000" w:csb1="00000000"/>
    <w:embedRegular r:id="rId2" w:fontKey="{F0323FD1-7942-4B75-8202-DF54B1D7D2BD}"/>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仿宋简体">
    <w:panose1 w:val="03000509000000000000"/>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黑体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4E6EEB">
    <w:pPr>
      <w:pStyle w:val="9"/>
    </w:pPr>
    <w:r>
      <mc:AlternateContent>
        <mc:Choice Requires="wps">
          <w:drawing>
            <wp:anchor distT="0" distB="0" distL="0" distR="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98" name="文本框 4"/>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5422ED56">
                          <w:pPr>
                            <w:pStyle w:val="9"/>
                            <w:rPr>
                              <w:rFonts w:hint="eastAsia" w:ascii="宋体" w:hAnsi="宋体"/>
                              <w:sz w:val="28"/>
                              <w:szCs w:val="28"/>
                            </w:rPr>
                          </w:pPr>
                          <w:r>
                            <w:rPr>
                              <w:rFonts w:hint="eastAsia" w:ascii="宋体" w:hAnsi="宋体"/>
                              <w:sz w:val="28"/>
                              <w:szCs w:val="28"/>
                            </w:rPr>
                            <w:t xml:space="preserve">— </w:t>
                          </w:r>
                          <w:r>
                            <w:rPr>
                              <w:rFonts w:hint="eastAsia" w:ascii="宋体" w:hAnsi="宋体"/>
                              <w:sz w:val="28"/>
                              <w:szCs w:val="28"/>
                            </w:rPr>
                            <w:fldChar w:fldCharType="begin"/>
                          </w:r>
                          <w:r>
                            <w:rPr>
                              <w:rFonts w:hint="eastAsia" w:ascii="宋体" w:hAnsi="宋体"/>
                              <w:sz w:val="28"/>
                              <w:szCs w:val="28"/>
                            </w:rPr>
                            <w:instrText xml:space="preserve"> PAGE  \* MERGEFORMAT </w:instrText>
                          </w:r>
                          <w:r>
                            <w:rPr>
                              <w:rFonts w:hint="eastAsia" w:ascii="宋体" w:hAnsi="宋体"/>
                              <w:sz w:val="28"/>
                              <w:szCs w:val="28"/>
                            </w:rPr>
                            <w:fldChar w:fldCharType="separate"/>
                          </w:r>
                          <w:r>
                            <w:rPr>
                              <w:rFonts w:hint="eastAsia" w:ascii="宋体" w:hAnsi="宋体"/>
                              <w:sz w:val="28"/>
                              <w:szCs w:val="28"/>
                            </w:rPr>
                            <w:t>10</w:t>
                          </w:r>
                          <w:r>
                            <w:rPr>
                              <w:rFonts w:hint="eastAsia" w:ascii="宋体" w:hAnsi="宋体"/>
                              <w:sz w:val="28"/>
                              <w:szCs w:val="28"/>
                            </w:rPr>
                            <w:fldChar w:fldCharType="end"/>
                          </w:r>
                          <w:r>
                            <w:rPr>
                              <w:rFonts w:hint="eastAsia" w:ascii="宋体" w:hAnsi="宋体"/>
                              <w:sz w:val="28"/>
                              <w:szCs w:val="28"/>
                            </w:rPr>
                            <w:t xml:space="preserve"> —</w:t>
                          </w:r>
                        </w:p>
                      </w:txbxContent>
                    </wps:txbx>
                    <wps:bodyPr vert="horz" wrap="none" lIns="0" tIns="0" rIns="0" bIns="0" anchor="t">
                      <a:spAutoFit/>
                    </wps:bodyPr>
                  </wps:wsp>
                </a:graphicData>
              </a:graphic>
            </wp:anchor>
          </w:drawing>
        </mc:Choice>
        <mc:Fallback>
          <w:pict>
            <v:rect id="文本框 4"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IYZdbfJAQAAkgMAAA4AAABkcnMvZTJvRG9jLnhtbK1TS47TQBDdI3GH&#10;Vu+JnWiEghVnhBQNQkIw0sABOu123FL/VNWJHQ4AN2DFhj3nyjmobtsZNGxmwaZd1Z9X770qb24H&#10;a9hJAWrvar5clJwpJ32j3aHmXz7fvVpzhlG4RhjvVM3PCvnt9uWLTR8qtfKdN40CRiAOqz7UvIsx&#10;VEWBslNW4MIH5eiw9WBFpBQORQOiJ3RrilVZvi56D00ALxUi7e7GQz4hwnMAfdtqqXZeHq1ycUQF&#10;ZUQkSdjpgHyb2batkvFT26KKzNSclMa8UhGK92ktthtRHUCETsuJgngOhSearNCOil6hdiIKdgT9&#10;D5TVEjz6Ni6kt8UoJDtCKpblE28eOhFU1kJWY7iajv8PVn483QPTTc1vyjfUeScs9fzy4/vl5+/L&#10;r2/sJjnUB6zo4kO4hylDCpPcoQWbviSEDdnV89VVNUQmaXO5Xq3XJRku6WxOCKd4fB4A4zvlLUtB&#10;zYHalt0Upw8Yx6vzlVTNuLQ6f6eNGU/TTpFojsRSFIf9MLHd++ZMKmnoCbzz8JWznlpec0cTzpl5&#10;78jRNB1zAHOwnwPhJD2s+cgLw9tjpPKZWyo2Vpg4UKuyumms0iz8nedbj7/S9g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5dblS0AAAAAUBAAAPAAAAAAAAAAEAIAAAACIAAABkcnMvZG93bnJldi54&#10;bWxQSwECFAAUAAAACACHTuJAhhl1t8kBAACSAwAADgAAAAAAAAABACAAAAAfAQAAZHJzL2Uyb0Rv&#10;Yy54bWxQSwUGAAAAAAYABgBZAQAAWgUAAAAA&#10;">
              <v:fill on="f" focussize="0,0"/>
              <v:stroke on="f"/>
              <v:imagedata o:title=""/>
              <o:lock v:ext="edit" aspectratio="f"/>
              <v:textbox inset="0mm,0mm,0mm,0mm" style="mso-fit-shape-to-text:t;">
                <w:txbxContent>
                  <w:p w14:paraId="5422ED56">
                    <w:pPr>
                      <w:pStyle w:val="9"/>
                      <w:rPr>
                        <w:rFonts w:hint="eastAsia" w:ascii="宋体" w:hAnsi="宋体"/>
                        <w:sz w:val="28"/>
                        <w:szCs w:val="28"/>
                      </w:rPr>
                    </w:pPr>
                    <w:r>
                      <w:rPr>
                        <w:rFonts w:hint="eastAsia" w:ascii="宋体" w:hAnsi="宋体"/>
                        <w:sz w:val="28"/>
                        <w:szCs w:val="28"/>
                      </w:rPr>
                      <w:t xml:space="preserve">— </w:t>
                    </w:r>
                    <w:r>
                      <w:rPr>
                        <w:rFonts w:hint="eastAsia" w:ascii="宋体" w:hAnsi="宋体"/>
                        <w:sz w:val="28"/>
                        <w:szCs w:val="28"/>
                      </w:rPr>
                      <w:fldChar w:fldCharType="begin"/>
                    </w:r>
                    <w:r>
                      <w:rPr>
                        <w:rFonts w:hint="eastAsia" w:ascii="宋体" w:hAnsi="宋体"/>
                        <w:sz w:val="28"/>
                        <w:szCs w:val="28"/>
                      </w:rPr>
                      <w:instrText xml:space="preserve"> PAGE  \* MERGEFORMAT </w:instrText>
                    </w:r>
                    <w:r>
                      <w:rPr>
                        <w:rFonts w:hint="eastAsia" w:ascii="宋体" w:hAnsi="宋体"/>
                        <w:sz w:val="28"/>
                        <w:szCs w:val="28"/>
                      </w:rPr>
                      <w:fldChar w:fldCharType="separate"/>
                    </w:r>
                    <w:r>
                      <w:rPr>
                        <w:rFonts w:hint="eastAsia" w:ascii="宋体" w:hAnsi="宋体"/>
                        <w:sz w:val="28"/>
                        <w:szCs w:val="28"/>
                      </w:rPr>
                      <w:t>10</w:t>
                    </w:r>
                    <w:r>
                      <w:rPr>
                        <w:rFonts w:hint="eastAsia" w:ascii="宋体" w:hAnsi="宋体"/>
                        <w:sz w:val="28"/>
                        <w:szCs w:val="28"/>
                      </w:rPr>
                      <w:fldChar w:fldCharType="end"/>
                    </w:r>
                    <w:r>
                      <w:rPr>
                        <w:rFonts w:hint="eastAsia" w:ascii="宋体" w:hAnsi="宋体"/>
                        <w:sz w:val="28"/>
                        <w:szCs w:val="28"/>
                      </w:rPr>
                      <w:t xml:space="preserve"> —</w:t>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3113"/>
    <w:rsid w:val="00045AF0"/>
    <w:rsid w:val="0022457F"/>
    <w:rsid w:val="002F4EE2"/>
    <w:rsid w:val="00516AA5"/>
    <w:rsid w:val="00574C4A"/>
    <w:rsid w:val="005E3B6B"/>
    <w:rsid w:val="00662BAC"/>
    <w:rsid w:val="00832F0D"/>
    <w:rsid w:val="008C77CE"/>
    <w:rsid w:val="009C7E5D"/>
    <w:rsid w:val="00B13220"/>
    <w:rsid w:val="00C114B3"/>
    <w:rsid w:val="00C41C64"/>
    <w:rsid w:val="00CD2872"/>
    <w:rsid w:val="00CF36C6"/>
    <w:rsid w:val="00DA3113"/>
    <w:rsid w:val="00E704A0"/>
    <w:rsid w:val="01760587"/>
    <w:rsid w:val="01B13D6C"/>
    <w:rsid w:val="01CF3F68"/>
    <w:rsid w:val="02671A0C"/>
    <w:rsid w:val="02847096"/>
    <w:rsid w:val="02F73E86"/>
    <w:rsid w:val="02F93868"/>
    <w:rsid w:val="03556B84"/>
    <w:rsid w:val="03577A2F"/>
    <w:rsid w:val="04210C13"/>
    <w:rsid w:val="04903542"/>
    <w:rsid w:val="05364453"/>
    <w:rsid w:val="057452E4"/>
    <w:rsid w:val="057D317C"/>
    <w:rsid w:val="05FB2805"/>
    <w:rsid w:val="064249C6"/>
    <w:rsid w:val="068A7624"/>
    <w:rsid w:val="06B91AE1"/>
    <w:rsid w:val="072A2F74"/>
    <w:rsid w:val="07B5297C"/>
    <w:rsid w:val="07CA0D41"/>
    <w:rsid w:val="08416D26"/>
    <w:rsid w:val="084E1932"/>
    <w:rsid w:val="0854278F"/>
    <w:rsid w:val="0877389D"/>
    <w:rsid w:val="08F31FA8"/>
    <w:rsid w:val="091E570D"/>
    <w:rsid w:val="092403B3"/>
    <w:rsid w:val="09665BCC"/>
    <w:rsid w:val="0A1175FA"/>
    <w:rsid w:val="0A8D3D36"/>
    <w:rsid w:val="0B6F1706"/>
    <w:rsid w:val="0B97704C"/>
    <w:rsid w:val="0C166753"/>
    <w:rsid w:val="0C394176"/>
    <w:rsid w:val="0C706DB8"/>
    <w:rsid w:val="0CF049DB"/>
    <w:rsid w:val="0D0F0D92"/>
    <w:rsid w:val="0DC9718B"/>
    <w:rsid w:val="0DF04512"/>
    <w:rsid w:val="0DF4227F"/>
    <w:rsid w:val="0EBD63C5"/>
    <w:rsid w:val="0EDF1177"/>
    <w:rsid w:val="0F0F388A"/>
    <w:rsid w:val="0F8B4FC4"/>
    <w:rsid w:val="10432C87"/>
    <w:rsid w:val="106164CC"/>
    <w:rsid w:val="10C179B8"/>
    <w:rsid w:val="11D74D27"/>
    <w:rsid w:val="12247EEE"/>
    <w:rsid w:val="123478B9"/>
    <w:rsid w:val="129E5C9F"/>
    <w:rsid w:val="12E95108"/>
    <w:rsid w:val="12F86B39"/>
    <w:rsid w:val="13102103"/>
    <w:rsid w:val="13373F73"/>
    <w:rsid w:val="139A2438"/>
    <w:rsid w:val="1407190A"/>
    <w:rsid w:val="14D448CB"/>
    <w:rsid w:val="153C5E15"/>
    <w:rsid w:val="155F4841"/>
    <w:rsid w:val="157D3A0D"/>
    <w:rsid w:val="157D793D"/>
    <w:rsid w:val="15C947BC"/>
    <w:rsid w:val="16571DC8"/>
    <w:rsid w:val="1664417C"/>
    <w:rsid w:val="168B7EF6"/>
    <w:rsid w:val="168E3DFE"/>
    <w:rsid w:val="16F8114B"/>
    <w:rsid w:val="17AD6DF3"/>
    <w:rsid w:val="17CD0D00"/>
    <w:rsid w:val="17D90767"/>
    <w:rsid w:val="17EC48D8"/>
    <w:rsid w:val="17EF1B5C"/>
    <w:rsid w:val="18681B32"/>
    <w:rsid w:val="1B0F0EC3"/>
    <w:rsid w:val="1B8D369A"/>
    <w:rsid w:val="1C350E83"/>
    <w:rsid w:val="1DAD5A2A"/>
    <w:rsid w:val="1DD442CB"/>
    <w:rsid w:val="1E11491A"/>
    <w:rsid w:val="1E38133A"/>
    <w:rsid w:val="1E966FC2"/>
    <w:rsid w:val="1F1F3012"/>
    <w:rsid w:val="1F8C459A"/>
    <w:rsid w:val="1FAB61FF"/>
    <w:rsid w:val="1FAF11B6"/>
    <w:rsid w:val="203A259B"/>
    <w:rsid w:val="208768C0"/>
    <w:rsid w:val="20DF664B"/>
    <w:rsid w:val="211F3F6B"/>
    <w:rsid w:val="21625D51"/>
    <w:rsid w:val="216A6CD7"/>
    <w:rsid w:val="21A55A0F"/>
    <w:rsid w:val="22370D00"/>
    <w:rsid w:val="223C39BA"/>
    <w:rsid w:val="22525B39"/>
    <w:rsid w:val="228061E8"/>
    <w:rsid w:val="230A077D"/>
    <w:rsid w:val="23337FE4"/>
    <w:rsid w:val="23483E3A"/>
    <w:rsid w:val="250F7B42"/>
    <w:rsid w:val="252061BE"/>
    <w:rsid w:val="258778A8"/>
    <w:rsid w:val="25EC4202"/>
    <w:rsid w:val="262D5D2C"/>
    <w:rsid w:val="26BA48F8"/>
    <w:rsid w:val="276E106B"/>
    <w:rsid w:val="27D82A68"/>
    <w:rsid w:val="28D2397B"/>
    <w:rsid w:val="299C5322"/>
    <w:rsid w:val="29A416BE"/>
    <w:rsid w:val="2AFA72B8"/>
    <w:rsid w:val="2BF963C5"/>
    <w:rsid w:val="2C0E0D23"/>
    <w:rsid w:val="2C4E14C8"/>
    <w:rsid w:val="2C764495"/>
    <w:rsid w:val="2CE54026"/>
    <w:rsid w:val="2E2C3B84"/>
    <w:rsid w:val="2E426687"/>
    <w:rsid w:val="2E456552"/>
    <w:rsid w:val="2E6F1B6A"/>
    <w:rsid w:val="2E950C72"/>
    <w:rsid w:val="2EAB43E8"/>
    <w:rsid w:val="2ED1409A"/>
    <w:rsid w:val="2EFF5210"/>
    <w:rsid w:val="2FDD2BC8"/>
    <w:rsid w:val="3033580F"/>
    <w:rsid w:val="304242D4"/>
    <w:rsid w:val="305B2DBF"/>
    <w:rsid w:val="30712165"/>
    <w:rsid w:val="309D2676"/>
    <w:rsid w:val="30F00600"/>
    <w:rsid w:val="31495A62"/>
    <w:rsid w:val="31855066"/>
    <w:rsid w:val="34333D66"/>
    <w:rsid w:val="34A1008C"/>
    <w:rsid w:val="34DD728F"/>
    <w:rsid w:val="35026356"/>
    <w:rsid w:val="358B3826"/>
    <w:rsid w:val="35C506A4"/>
    <w:rsid w:val="36767A23"/>
    <w:rsid w:val="36C44BA4"/>
    <w:rsid w:val="372A30FF"/>
    <w:rsid w:val="375A306E"/>
    <w:rsid w:val="37A333EE"/>
    <w:rsid w:val="37DC43BD"/>
    <w:rsid w:val="381A338C"/>
    <w:rsid w:val="38F245D4"/>
    <w:rsid w:val="3AC577B5"/>
    <w:rsid w:val="3ACB1702"/>
    <w:rsid w:val="3AD46F39"/>
    <w:rsid w:val="3B277F00"/>
    <w:rsid w:val="3BD65224"/>
    <w:rsid w:val="3C410359"/>
    <w:rsid w:val="3C966C1E"/>
    <w:rsid w:val="3D6A42F9"/>
    <w:rsid w:val="3D7153EC"/>
    <w:rsid w:val="3DCB0822"/>
    <w:rsid w:val="3E03620E"/>
    <w:rsid w:val="3E2364DC"/>
    <w:rsid w:val="3F0B4D59"/>
    <w:rsid w:val="3F2F57A9"/>
    <w:rsid w:val="3F9031E1"/>
    <w:rsid w:val="3F9A4950"/>
    <w:rsid w:val="40750522"/>
    <w:rsid w:val="40EA5F9B"/>
    <w:rsid w:val="41DA54D8"/>
    <w:rsid w:val="423746D8"/>
    <w:rsid w:val="43471B3D"/>
    <w:rsid w:val="43F016B1"/>
    <w:rsid w:val="441840B8"/>
    <w:rsid w:val="44230847"/>
    <w:rsid w:val="44355388"/>
    <w:rsid w:val="44661108"/>
    <w:rsid w:val="446B0322"/>
    <w:rsid w:val="45475975"/>
    <w:rsid w:val="45614A57"/>
    <w:rsid w:val="45AB44BC"/>
    <w:rsid w:val="45B84BF7"/>
    <w:rsid w:val="45E32BE0"/>
    <w:rsid w:val="4634713C"/>
    <w:rsid w:val="467A6E3B"/>
    <w:rsid w:val="4722090C"/>
    <w:rsid w:val="472471F5"/>
    <w:rsid w:val="485C7890"/>
    <w:rsid w:val="48EB0F3A"/>
    <w:rsid w:val="48F23EF4"/>
    <w:rsid w:val="4907532F"/>
    <w:rsid w:val="490B50DD"/>
    <w:rsid w:val="495D7415"/>
    <w:rsid w:val="49E44D12"/>
    <w:rsid w:val="4AD60386"/>
    <w:rsid w:val="4B93319E"/>
    <w:rsid w:val="4C05088C"/>
    <w:rsid w:val="4C201C8C"/>
    <w:rsid w:val="4D4C0A07"/>
    <w:rsid w:val="4D773C55"/>
    <w:rsid w:val="4E0C0063"/>
    <w:rsid w:val="4E545131"/>
    <w:rsid w:val="4E7312E2"/>
    <w:rsid w:val="4E7B1D71"/>
    <w:rsid w:val="4EA32C03"/>
    <w:rsid w:val="4EDB497F"/>
    <w:rsid w:val="4EDC6B5F"/>
    <w:rsid w:val="4F873AB2"/>
    <w:rsid w:val="4FCF0D20"/>
    <w:rsid w:val="4FD8790D"/>
    <w:rsid w:val="4FF34B45"/>
    <w:rsid w:val="50165253"/>
    <w:rsid w:val="5019366F"/>
    <w:rsid w:val="515A7CA0"/>
    <w:rsid w:val="52106108"/>
    <w:rsid w:val="52B42A84"/>
    <w:rsid w:val="52D93AE7"/>
    <w:rsid w:val="5306792F"/>
    <w:rsid w:val="53395AD7"/>
    <w:rsid w:val="534053B7"/>
    <w:rsid w:val="534803F3"/>
    <w:rsid w:val="534E18C5"/>
    <w:rsid w:val="539912EF"/>
    <w:rsid w:val="539C42DB"/>
    <w:rsid w:val="54B90F7D"/>
    <w:rsid w:val="553F1DBA"/>
    <w:rsid w:val="5587381A"/>
    <w:rsid w:val="569752EE"/>
    <w:rsid w:val="576370B4"/>
    <w:rsid w:val="57E04A87"/>
    <w:rsid w:val="583103BB"/>
    <w:rsid w:val="58A9065A"/>
    <w:rsid w:val="590F3A06"/>
    <w:rsid w:val="596D4A2C"/>
    <w:rsid w:val="59F023FC"/>
    <w:rsid w:val="5B3A257E"/>
    <w:rsid w:val="5B962018"/>
    <w:rsid w:val="5BAA0022"/>
    <w:rsid w:val="5BCF4ECA"/>
    <w:rsid w:val="5C50666A"/>
    <w:rsid w:val="5C99367C"/>
    <w:rsid w:val="5C993FA6"/>
    <w:rsid w:val="5D041203"/>
    <w:rsid w:val="5D1F54FB"/>
    <w:rsid w:val="5D7C2214"/>
    <w:rsid w:val="5E766130"/>
    <w:rsid w:val="5E8B1825"/>
    <w:rsid w:val="5EA47C2F"/>
    <w:rsid w:val="5F5944D8"/>
    <w:rsid w:val="601D5BCF"/>
    <w:rsid w:val="612A5DE1"/>
    <w:rsid w:val="61E7365D"/>
    <w:rsid w:val="62715869"/>
    <w:rsid w:val="637A35D0"/>
    <w:rsid w:val="63F26395"/>
    <w:rsid w:val="644D1B0E"/>
    <w:rsid w:val="64955880"/>
    <w:rsid w:val="65313143"/>
    <w:rsid w:val="6582249C"/>
    <w:rsid w:val="65B66C75"/>
    <w:rsid w:val="669710F3"/>
    <w:rsid w:val="6729387D"/>
    <w:rsid w:val="67E96CAF"/>
    <w:rsid w:val="67F6247B"/>
    <w:rsid w:val="686F1382"/>
    <w:rsid w:val="6889463D"/>
    <w:rsid w:val="68F669DD"/>
    <w:rsid w:val="695B48DF"/>
    <w:rsid w:val="6A681023"/>
    <w:rsid w:val="6AE12510"/>
    <w:rsid w:val="6AED19D9"/>
    <w:rsid w:val="6B5137A2"/>
    <w:rsid w:val="6C0E7C5C"/>
    <w:rsid w:val="6C9102FF"/>
    <w:rsid w:val="6D771841"/>
    <w:rsid w:val="6DC92581"/>
    <w:rsid w:val="6EC033A1"/>
    <w:rsid w:val="6F3665F4"/>
    <w:rsid w:val="6F666DD4"/>
    <w:rsid w:val="6FCB25CC"/>
    <w:rsid w:val="6FF66AF1"/>
    <w:rsid w:val="70755580"/>
    <w:rsid w:val="71662034"/>
    <w:rsid w:val="716D266E"/>
    <w:rsid w:val="725501DD"/>
    <w:rsid w:val="734F2F7A"/>
    <w:rsid w:val="73730BCE"/>
    <w:rsid w:val="73774284"/>
    <w:rsid w:val="737A0623"/>
    <w:rsid w:val="73DC0954"/>
    <w:rsid w:val="73F51389"/>
    <w:rsid w:val="745F5A78"/>
    <w:rsid w:val="746D7236"/>
    <w:rsid w:val="75F145C2"/>
    <w:rsid w:val="760065B4"/>
    <w:rsid w:val="781C1461"/>
    <w:rsid w:val="785620EF"/>
    <w:rsid w:val="786C1799"/>
    <w:rsid w:val="79CA3CCA"/>
    <w:rsid w:val="79DB71FB"/>
    <w:rsid w:val="79E81DAC"/>
    <w:rsid w:val="79FA77BE"/>
    <w:rsid w:val="7A1441EE"/>
    <w:rsid w:val="7AB91D65"/>
    <w:rsid w:val="7AF8484B"/>
    <w:rsid w:val="7B2A6FAC"/>
    <w:rsid w:val="7B537FFB"/>
    <w:rsid w:val="7BD83B2F"/>
    <w:rsid w:val="7BDB1396"/>
    <w:rsid w:val="7BDD03BF"/>
    <w:rsid w:val="7C413BEF"/>
    <w:rsid w:val="7C910037"/>
    <w:rsid w:val="7C980E09"/>
    <w:rsid w:val="7CE214B7"/>
    <w:rsid w:val="7D2F2052"/>
    <w:rsid w:val="7D367C8A"/>
    <w:rsid w:val="7DA261A2"/>
    <w:rsid w:val="7E354D2C"/>
    <w:rsid w:val="7E861620"/>
    <w:rsid w:val="7F5652D3"/>
    <w:rsid w:val="7FB32CE0"/>
    <w:rsid w:val="7FCE0093"/>
    <w:rsid w:val="7FFD58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2"/>
      <w:sz w:val="21"/>
      <w:szCs w:val="24"/>
      <w:lang w:val="en-US" w:eastAsia="zh-CN" w:bidi="ar-SA"/>
    </w:rPr>
  </w:style>
  <w:style w:type="paragraph" w:styleId="3">
    <w:name w:val="heading 1"/>
    <w:basedOn w:val="1"/>
    <w:next w:val="1"/>
    <w:qFormat/>
    <w:uiPriority w:val="9"/>
    <w:pPr>
      <w:keepNext/>
      <w:keepLines/>
      <w:spacing w:before="340" w:after="330" w:line="576" w:lineRule="auto"/>
      <w:outlineLvl w:val="0"/>
    </w:pPr>
    <w:rPr>
      <w:b/>
      <w:kern w:val="44"/>
      <w:sz w:val="44"/>
    </w:rPr>
  </w:style>
  <w:style w:type="paragraph" w:styleId="4">
    <w:name w:val="heading 2"/>
    <w:basedOn w:val="1"/>
    <w:next w:val="1"/>
    <w:qFormat/>
    <w:uiPriority w:val="9"/>
    <w:pPr>
      <w:spacing w:beforeAutospacing="1" w:afterAutospacing="1"/>
      <w:jc w:val="left"/>
      <w:outlineLvl w:val="1"/>
    </w:pPr>
    <w:rPr>
      <w:rFonts w:hint="eastAsia" w:ascii="宋体" w:hAnsi="宋体" w:cs="Times New Roman"/>
      <w:b/>
      <w:kern w:val="0"/>
      <w:sz w:val="36"/>
      <w:szCs w:val="36"/>
    </w:rPr>
  </w:style>
  <w:style w:type="paragraph" w:styleId="5">
    <w:name w:val="heading 3"/>
    <w:basedOn w:val="1"/>
    <w:next w:val="1"/>
    <w:qFormat/>
    <w:uiPriority w:val="9"/>
    <w:pPr>
      <w:keepNext/>
      <w:keepLines/>
      <w:spacing w:before="260" w:after="260" w:line="413" w:lineRule="auto"/>
      <w:outlineLvl w:val="2"/>
    </w:pPr>
    <w:rPr>
      <w:b/>
      <w:sz w:val="32"/>
    </w:rPr>
  </w:style>
  <w:style w:type="paragraph" w:styleId="6">
    <w:name w:val="heading 4"/>
    <w:basedOn w:val="1"/>
    <w:next w:val="7"/>
    <w:qFormat/>
    <w:uiPriority w:val="9"/>
    <w:pPr>
      <w:keepNext/>
      <w:keepLines/>
      <w:spacing w:before="280" w:after="290" w:line="372" w:lineRule="auto"/>
      <w:outlineLvl w:val="3"/>
    </w:pPr>
    <w:rPr>
      <w:rFonts w:ascii="Arial" w:hAnsi="Arial" w:eastAsia="黑体"/>
      <w:b/>
      <w:sz w:val="28"/>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textAlignment w:val="baseline"/>
    </w:pPr>
    <w:rPr>
      <w:rFonts w:ascii="仿宋_GB2312" w:hAnsi="MS Sans Serif" w:eastAsia="仿宋_GB2312"/>
      <w:sz w:val="24"/>
      <w:szCs w:val="20"/>
    </w:rPr>
  </w:style>
  <w:style w:type="paragraph" w:styleId="7">
    <w:name w:val="Body Text First Indent"/>
    <w:basedOn w:val="1"/>
    <w:qFormat/>
    <w:uiPriority w:val="0"/>
    <w:pPr>
      <w:adjustRightInd w:val="0"/>
      <w:snapToGrid w:val="0"/>
      <w:spacing w:line="800" w:lineRule="exact"/>
      <w:ind w:firstLine="420" w:firstLineChars="100"/>
      <w:jc w:val="center"/>
    </w:pPr>
    <w:rPr>
      <w:rFonts w:ascii="方正小标宋简体" w:hAnsi="Times New Roman" w:eastAsia="方正小标宋简体" w:cs="Times New Roman"/>
      <w:sz w:val="44"/>
    </w:rPr>
  </w:style>
  <w:style w:type="paragraph" w:styleId="8">
    <w:name w:val="Body Text Indent"/>
    <w:basedOn w:val="1"/>
    <w:qFormat/>
    <w:uiPriority w:val="99"/>
    <w:pPr>
      <w:spacing w:line="480" w:lineRule="exact"/>
      <w:ind w:firstLine="555"/>
    </w:pPr>
    <w:rPr>
      <w:rFonts w:ascii="宋体" w:hAnsi="@宋体" w:cs="Times New Roman"/>
      <w:snapToGrid w:val="0"/>
      <w:color w:val="000000"/>
      <w:szCs w:val="22"/>
    </w:rPr>
  </w:style>
  <w:style w:type="paragraph" w:styleId="9">
    <w:name w:val="footer"/>
    <w:basedOn w:val="1"/>
    <w:qFormat/>
    <w:uiPriority w:val="0"/>
    <w:pPr>
      <w:tabs>
        <w:tab w:val="center" w:pos="4153"/>
        <w:tab w:val="right" w:pos="8306"/>
      </w:tabs>
      <w:snapToGrid w:val="0"/>
      <w:jc w:val="left"/>
    </w:pPr>
    <w:rPr>
      <w:sz w:val="18"/>
      <w:szCs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1">
    <w:name w:val="Normal (Web)"/>
    <w:basedOn w:val="1"/>
    <w:next w:val="10"/>
    <w:qFormat/>
    <w:uiPriority w:val="0"/>
    <w:pPr>
      <w:spacing w:beforeAutospacing="1" w:afterAutospacing="1"/>
      <w:jc w:val="left"/>
    </w:pPr>
    <w:rPr>
      <w:rFonts w:cs="Times New Roman"/>
      <w:kern w:val="0"/>
      <w:sz w:val="24"/>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customStyle="1" w:styleId="16">
    <w:name w:val="font11"/>
    <w:basedOn w:val="14"/>
    <w:qFormat/>
    <w:uiPriority w:val="0"/>
    <w:rPr>
      <w:rFonts w:hint="eastAsia" w:ascii="方正仿宋_GBK" w:hAnsi="方正仿宋_GBK" w:eastAsia="方正仿宋_GBK" w:cs="方正仿宋_GBK"/>
      <w:b/>
      <w:bCs/>
      <w:color w:val="000000"/>
      <w:sz w:val="24"/>
      <w:szCs w:val="24"/>
      <w:u w:val="none"/>
    </w:rPr>
  </w:style>
  <w:style w:type="character" w:customStyle="1" w:styleId="17">
    <w:name w:val="font31"/>
    <w:basedOn w:val="14"/>
    <w:qFormat/>
    <w:uiPriority w:val="0"/>
    <w:rPr>
      <w:rFonts w:hint="eastAsia" w:ascii="方正仿宋_GBK" w:hAnsi="方正仿宋_GBK" w:eastAsia="方正仿宋_GBK" w:cs="方正仿宋_GBK"/>
      <w:color w:val="000000"/>
      <w:sz w:val="21"/>
      <w:szCs w:val="21"/>
      <w:u w:val="none"/>
    </w:rPr>
  </w:style>
  <w:style w:type="character" w:customStyle="1" w:styleId="18">
    <w:name w:val="font41"/>
    <w:basedOn w:val="14"/>
    <w:qFormat/>
    <w:uiPriority w:val="0"/>
    <w:rPr>
      <w:rFonts w:hint="eastAsia" w:ascii="方正仿宋_GBK" w:hAnsi="方正仿宋_GBK" w:eastAsia="方正仿宋_GBK" w:cs="方正仿宋_GBK"/>
      <w:color w:val="000000"/>
      <w:sz w:val="24"/>
      <w:szCs w:val="24"/>
      <w:u w:val="none"/>
    </w:rPr>
  </w:style>
  <w:style w:type="paragraph" w:styleId="19">
    <w:name w:val="List Paragraph"/>
    <w:basedOn w:val="1"/>
    <w:qFormat/>
    <w:uiPriority w:val="99"/>
    <w:pPr>
      <w:ind w:firstLine="420" w:firstLineChars="200"/>
    </w:pPr>
  </w:style>
  <w:style w:type="character" w:customStyle="1" w:styleId="20">
    <w:name w:val="font21"/>
    <w:basedOn w:val="14"/>
    <w:qFormat/>
    <w:uiPriority w:val="0"/>
    <w:rPr>
      <w:rFonts w:ascii="仿宋" w:hAnsi="仿宋" w:eastAsia="仿宋" w:cs="仿宋"/>
      <w:color w:val="000000"/>
      <w:sz w:val="20"/>
      <w:szCs w:val="20"/>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687b137b-1104-4701-8274-dcee72dd79c9</errorID>
      <errorWord>）有</errorWord>
      <group>L1_Word</group>
      <groupName>字词问题</groupName>
      <ability>L2_Typo</ability>
      <abilityName>字词错误</abilityName>
      <candidateList>
        <item>）</item>
      </candidateList>
      <explain/>
      <paraID>63432DDE</paraID>
      <start>2</start>
      <end>4</end>
      <status>unmodified</status>
      <modifiedWord/>
      <trackRevisions>false</trackRevisions>
    </reviewItem>
    <reviewItem>
      <errorID>6bc2b171-cf31-47d6-924a-e6865fdc1238</errorID>
      <errorWord>须</errorWord>
      <group>L1_Word</group>
      <groupName>字词问题</groupName>
      <ability>L2_Typo</ability>
      <abilityName>字词错误</abilityName>
      <candidateList>
        <item>需</item>
      </candidateList>
      <explain>存在发音相同字词的误用。</explain>
      <paraID>31580AF7</paraID>
      <start>7</start>
      <end>8</end>
      <status>unmodified</status>
      <modifiedWord/>
      <trackRevisions>false</trackRevisions>
    </reviewItem>
    <reviewItem>
      <errorID>e67c9148-737f-46a8-90c8-0413dab733a5</errorID>
      <errorWord>限踪</errorWord>
      <group>L1_Word</group>
      <groupName>字词问题</groupName>
      <ability>L2_Typo</ability>
      <abilityName>字词错误</abilityName>
      <candidateList>
        <item>跟踪</item>
      </candidateList>
      <explain>存在字形相近字词的误用。</explain>
      <paraID>568B0F68</paraID>
      <start>14</start>
      <end>16</end>
      <status>modified</status>
      <modifiedWord>跟踪</modifiedWord>
      <trackRevisions>false</trackRevisions>
    </reviewItem>
    <reviewItem>
      <errorID>4ae16504-9d06-425f-91c6-f809c4f26923</errorID>
      <errorWord>12-17万</errorWord>
      <group>L1_Knowledge</group>
      <groupName>知识性问题</groupName>
      <ability>L2_Knowledge</ability>
      <abilityName>其他知识</abilityName>
      <candidateList>
        <item>12万—17万</item>
      </candidateList>
      <explain>1. “12-17万”中的单位“万”仅出现在后一个数字上，容易引起歧义；根据《现代汉语标点符号数字用法规范手册》，数字表示范围两边需要使用统一的格式。2.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69CE76A9</paraID>
      <start>0</start>
      <end>6</end>
      <status>ignored</status>
      <modifiedWord/>
      <trackRevisions>false</trackRevisions>
    </reviewItem>
    <reviewItem>
      <errorID>1f3f9cd6-0001-4639-91bf-61fadfa23059</errorID>
      <errorWord>10-15万</errorWord>
      <group>L1_Knowledge</group>
      <groupName>知识性问题</groupName>
      <ability>L2_Knowledge</ability>
      <abilityName>其他知识</abilityName>
      <candidateList>
        <item>10万—15万</item>
      </candidateList>
      <explain>1. “10-15万”中的单位“万”仅出现在后一个数字上，容易引起歧义；根据《现代汉语标点符号数字用法规范手册》，数字表示范围两边需要使用统一的格式。2.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6D88DFAC</paraID>
      <start>0</start>
      <end>6</end>
      <status>ignored</status>
      <modifiedWord/>
      <trackRevisions>false</trackRevisions>
    </reviewItem>
    <reviewItem>
      <errorID>75a54883-13ec-416e-8988-cf4b9230bdf7</errorID>
      <errorWord>10-15万</errorWord>
      <group>L1_Knowledge</group>
      <groupName>知识性问题</groupName>
      <ability>L2_Knowledge</ability>
      <abilityName>其他知识</abilityName>
      <candidateList>
        <item>10万—15万</item>
      </candidateList>
      <explain>1. “10-15万”中的单位“万”仅出现在后一个数字上，容易引起歧义；根据《现代汉语标点符号数字用法规范手册》，数字表示范围两边需要使用统一的格式。2.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 86A0F1F</paraID>
      <start>0</start>
      <end>6</end>
      <status>ignored</status>
      <modifiedWord/>
      <trackRevisions>false</trackRevisions>
    </reviewItem>
    <reviewItem>
      <errorID>a382791c-8582-4b0f-8737-506b47604cb6</errorID>
      <errorWord>10-12万</errorWord>
      <group>L1_Knowledge</group>
      <groupName>知识性问题</groupName>
      <ability>L2_Knowledge</ability>
      <abilityName>其他知识</abilityName>
      <candidateList>
        <item>10万—12万</item>
      </candidateList>
      <explain>1. “10-12万”中的单位“万”仅出现在后一个数字上，容易引起歧义；根据《现代汉语标点符号数字用法规范手册》，数字表示范围两边需要使用统一的格式。2.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15771D3D</paraID>
      <start>0</start>
      <end>6</end>
      <status>ignored</status>
      <modifiedWord/>
      <trackRevisions>false</trackRevisions>
    </reviewItem>
    <reviewItem>
      <errorID>0a48ae93-f4a4-42af-83eb-235bcd3ee641</errorID>
      <errorWord>12-14万</errorWord>
      <group>L1_Knowledge</group>
      <groupName>知识性问题</groupName>
      <ability>L2_Knowledge</ability>
      <abilityName>其他知识</abilityName>
      <candidateList>
        <item>12万—14万</item>
      </candidateList>
      <explain>1. “12-14万”中的单位“万”仅出现在后一个数字上，容易引起歧义；根据《现代汉语标点符号数字用法规范手册》，数字表示范围两边需要使用统一的格式。2.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2A5229DF</paraID>
      <start>0</start>
      <end>6</end>
      <status>ignored</status>
      <modifiedWord/>
      <trackRevisions>false</trackRevisions>
    </reviewItem>
    <reviewItem>
      <errorID>3849140e-ff30-404a-a041-030fbe056111</errorID>
      <errorWord>全</errorWord>
      <group>L1_Word</group>
      <groupName>字词问题</groupName>
      <ability>L2_Typo</ability>
      <abilityName>字词错误</abilityName>
      <candidateList>
        <item>全过</item>
      </candidateList>
      <explain/>
      <paraID>3B4E1F98</paraID>
      <start>7</start>
      <end>9</end>
      <status>modified</status>
      <modifiedWord>全过</modifiedWord>
      <trackRevisions>false</trackRevisions>
    </reviewItem>
    <reviewItem>
      <errorID>1ea65405-731a-49e1-a558-43fc50f372d9</errorID>
      <errorWord>12-15万</errorWord>
      <group>L1_Knowledge</group>
      <groupName>知识性问题</groupName>
      <ability>L2_Knowledge</ability>
      <abilityName>其他知识</abilityName>
      <candidateList>
        <item>12万—15万</item>
      </candidateList>
      <explain>1. “12-15万”中的单位“万”仅出现在后一个数字上，容易引起歧义；根据《现代汉语标点符号数字用法规范手册》，数字表示范围两边需要使用统一的格式。2.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41392A32</paraID>
      <start>0</start>
      <end>6</end>
      <status>ignored</status>
      <modifiedWord/>
      <trackRevisions>false</trackRevisions>
    </reviewItem>
    <reviewItem>
      <errorID>dfa41bc1-059f-4837-a054-c3b848de9443</errorID>
      <errorWord>12-16万</errorWord>
      <group>L1_Knowledge</group>
      <groupName>知识性问题</groupName>
      <ability>L2_Knowledge</ability>
      <abilityName>其他知识</abilityName>
      <candidateList>
        <item>12万—16万</item>
      </candidateList>
      <explain>1. “12-16万”中的单位“万”仅出现在后一个数字上，容易引起歧义；根据《现代汉语标点符号数字用法规范手册》，数字表示范围两边需要使用统一的格式。2.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4F76EC98</paraID>
      <start>0</start>
      <end>6</end>
      <status>ignored</status>
      <modifiedWord/>
      <trackRevisions>false</trackRevisions>
    </reviewItem>
    <reviewItem>
      <errorID>b3ba5693-2071-4c95-b99a-d535e34c96a4</errorID>
      <errorWord>12-16万</errorWord>
      <group>L1_Knowledge</group>
      <groupName>知识性问题</groupName>
      <ability>L2_Knowledge</ability>
      <abilityName>其他知识</abilityName>
      <candidateList>
        <item>12万—16万</item>
      </candidateList>
      <explain>1. “12-16万”中的单位“万”仅出现在后一个数字上，容易引起歧义；根据《现代汉语标点符号数字用法规范手册》，数字表示范围两边需要使用统一的格式。2.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40AAE288</paraID>
      <start>0</start>
      <end>6</end>
      <status>ignored</status>
      <modifiedWord/>
      <trackRevisions>false</trackRevisions>
    </reviewItem>
    <reviewItem>
      <errorID>f8acc7cc-9fc1-4154-8f1d-3a3aa145e518</errorID>
      <errorWord>11-14万</errorWord>
      <group>L1_Knowledge</group>
      <groupName>知识性问题</groupName>
      <ability>L2_Knowledge</ability>
      <abilityName>其他知识</abilityName>
      <candidateList>
        <item>11万—14万</item>
      </candidateList>
      <explain>1. “11-14万”中的单位“万”仅出现在后一个数字上，容易引起歧义；根据《现代汉语标点符号数字用法规范手册》，数字表示范围两边需要使用统一的格式。2.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7A7C36D9</paraID>
      <start>0</start>
      <end>6</end>
      <status>ignored</status>
      <modifiedWord/>
      <trackRevisions>false</trackRevisions>
    </reviewItem>
    <reviewItem>
      <errorID>7a1e6e32-93a5-4451-ba5e-0cea863fe38c</errorID>
      <errorWord>10-15万</errorWord>
      <group>L1_Knowledge</group>
      <groupName>知识性问题</groupName>
      <ability>L2_Knowledge</ability>
      <abilityName>其他知识</abilityName>
      <candidateList>
        <item>10万—15万</item>
      </candidateList>
      <explain>1. “10-15万”中的单位“万”仅出现在后一个数字上，容易引起歧义；根据《现代汉语标点符号数字用法规范手册》，数字表示范围两边需要使用统一的格式。2.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 248EEC7</paraID>
      <start>0</start>
      <end>6</end>
      <status>ignored</status>
      <modifiedWord/>
      <trackRevisions>false</trackRevisions>
    </reviewItem>
    <reviewItem>
      <errorID>8902f0f1-ed56-477d-b2c5-28bfa08dfd67</errorID>
      <errorWord>10-15万</errorWord>
      <group>L1_Knowledge</group>
      <groupName>知识性问题</groupName>
      <ability>L2_Knowledge</ability>
      <abilityName>其他知识</abilityName>
      <candidateList>
        <item>10万—15万</item>
      </candidateList>
      <explain>1. “10-15万”中的单位“万”仅出现在后一个数字上，容易引起歧义；根据《现代汉语标点符号数字用法规范手册》，数字表示范围两边需要使用统一的格式。2.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58D859A0</paraID>
      <start>0</start>
      <end>6</end>
      <status>ignored</status>
      <modifiedWord/>
      <trackRevisions>false</trackRevisions>
    </reviewItem>
    <reviewItem>
      <errorID>b12dc5f7-8358-433c-b613-2aa933d13580</errorID>
      <errorWord>10-15万</errorWord>
      <group>L1_Knowledge</group>
      <groupName>知识性问题</groupName>
      <ability>L2_Knowledge</ability>
      <abilityName>其他知识</abilityName>
      <candidateList>
        <item>10万—15万</item>
      </candidateList>
      <explain>1. “10-15万”中的单位“万”仅出现在后一个数字上，容易引起歧义；根据《现代汉语标点符号数字用法规范手册》，数字表示范围两边需要使用统一的格式。2.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413161BD</paraID>
      <start>0</start>
      <end>6</end>
      <status>ignored</status>
      <modifiedWord/>
      <trackRevisions>false</trackRevisions>
    </reviewItem>
    <reviewItem>
      <errorID>b0b5d8f0-883c-424c-8a3d-57f0c9c0848d</errorID>
      <errorWord>10-16万</errorWord>
      <group>L1_Knowledge</group>
      <groupName>知识性问题</groupName>
      <ability>L2_Knowledge</ability>
      <abilityName>其他知识</abilityName>
      <candidateList>
        <item>10万—16万</item>
      </candidateList>
      <explain>1. “10-16万”中的单位“万”仅出现在后一个数字上，容易引起歧义；根据《现代汉语标点符号数字用法规范手册》，数字表示范围两边需要使用统一的格式。2.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30BD2A79</paraID>
      <start>0</start>
      <end>6</end>
      <status>ignored</status>
      <modifiedWord/>
      <trackRevisions>false</trackRevisions>
    </reviewItem>
    <reviewItem>
      <errorID>b9b04f87-503f-40a2-8eb1-eb7891bea59a</errorID>
      <errorWord>详实</errorWord>
      <group>L1_Word</group>
      <groupName>字词问题</groupName>
      <ability>L2_Typo</ability>
      <abilityName>字词错误</abilityName>
      <candidateList>
        <item>翔实</item>
      </candidateList>
      <explain>存在发音相同字词的误用。</explain>
      <paraID>19273B8A</paraID>
      <start>16</start>
      <end>18</end>
      <status>ignored</status>
      <modifiedWord/>
      <trackRevisions>false</trackRevisions>
    </reviewItem>
    <reviewItem>
      <errorID>3b302bac-a777-4571-8677-c847e8b35180</errorID>
      <errorWord>10-14万</errorWord>
      <group>L1_Knowledge</group>
      <groupName>知识性问题</groupName>
      <ability>L2_Knowledge</ability>
      <abilityName>其他知识</abilityName>
      <candidateList>
        <item>10万—14万</item>
      </candidateList>
      <explain>1. “10-14万”中的单位“万”仅出现在后一个数字上，容易引起歧义；根据《现代汉语标点符号数字用法规范手册》，数字表示范围两边需要使用统一的格式。2.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60BB163A</paraID>
      <start>0</start>
      <end>6</end>
      <status>unmodified</status>
      <modifiedWord/>
      <trackRevisions>false</trackRevisions>
    </reviewItem>
    <reviewItem>
      <errorID>e634b303-63e5-4fc5-8b49-8450b0ee8aee</errorID>
      <errorWord>12-14万</errorWord>
      <group>L1_Knowledge</group>
      <groupName>知识性问题</groupName>
      <ability>L2_Knowledge</ability>
      <abilityName>其他知识</abilityName>
      <candidateList>
        <item>12万—14万</item>
      </candidateList>
      <explain>1. “12-14万”中的单位“万”仅出现在后一个数字上，容易引起歧义；根据《现代汉语标点符号数字用法规范手册》，数字表示范围两边需要使用统一的格式。2.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47829751</paraID>
      <start>0</start>
      <end>6</end>
      <status>unmodified</status>
      <modifiedWord/>
      <trackRevisions>false</trackRevisions>
    </reviewItem>
    <reviewItem>
      <errorID>05b3d410-b3f3-4caa-a1ea-a0a6b507ad16</errorID>
      <errorWord>27-34万</errorWord>
      <group>L1_Knowledge</group>
      <groupName>知识性问题</groupName>
      <ability>L2_Knowledge</ability>
      <abilityName>其他知识</abilityName>
      <candidateList>
        <item>27万—34万</item>
      </candidateList>
      <explain>1. “27-34万”中的单位“万”仅出现在后一个数字上，容易引起歧义；根据《现代汉语标点符号数字用法规范手册》，数字表示范围两边需要使用统一的格式。2.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4B93B75A</paraID>
      <start>0</start>
      <end>6</end>
      <status>unmodified</status>
      <modifiedWord/>
      <trackRevisions>false</trackRevisions>
    </reviewItem>
    <reviewItem>
      <errorID>545b4780-31b7-48ce-a296-72dc6847c03c</errorID>
      <errorWord>13-25万</errorWord>
      <group>L1_Knowledge</group>
      <groupName>知识性问题</groupName>
      <ability>L2_Knowledge</ability>
      <abilityName>其他知识</abilityName>
      <candidateList>
        <item>13万—25万</item>
      </candidateList>
      <explain>1. “13-25万”中的单位“万”仅出现在后一个数字上，容易引起歧义；根据《现代汉语标点符号数字用法规范手册》，数字表示范围两边需要使用统一的格式。2.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5548D3C6</paraID>
      <start>0</start>
      <end>6</end>
      <status>unmodified</status>
      <modifiedWord/>
      <trackRevisions>false</trackRevisions>
    </reviewItem>
    <reviewItem>
      <errorID>32a7e5b5-05dc-4c8e-b998-3b684b7ca25a</errorID>
      <errorWord>10-13万</errorWord>
      <group>L1_Knowledge</group>
      <groupName>知识性问题</groupName>
      <ability>L2_Knowledge</ability>
      <abilityName>其他知识</abilityName>
      <candidateList>
        <item>10万—13万</item>
      </candidateList>
      <explain>1. “10-13万”中的单位“万”仅出现在后一个数字上，容易引起歧义；根据《现代汉语标点符号数字用法规范手册》，数字表示范围两边需要使用统一的格式。2.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50A62180</paraID>
      <start>0</start>
      <end>6</end>
      <status>unmodified</status>
      <modifiedWord/>
      <trackRevisions>false</trackRevisions>
    </reviewItem>
    <reviewItem>
      <errorID>c9799674-f0cf-4318-a4d4-392240d5657d</errorID>
      <errorWord>10-14万</errorWord>
      <group>L1_Knowledge</group>
      <groupName>知识性问题</groupName>
      <ability>L2_Knowledge</ability>
      <abilityName>其他知识</abilityName>
      <candidateList>
        <item>10万—14万</item>
      </candidateList>
      <explain>1. “10-14万”中的单位“万”仅出现在后一个数字上，容易引起歧义；根据《现代汉语标点符号数字用法规范手册》，数字表示范围两边需要使用统一的格式。2.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3B3178FB</paraID>
      <start>0</start>
      <end>6</end>
      <status>unmodified</status>
      <modifiedWord/>
      <trackRevisions>false</trackRevisions>
    </reviewItem>
    <reviewItem>
      <errorID>201f58b2-a032-4c07-be73-fb1178a0a2ee</errorID>
      <errorWord>20-25万</errorWord>
      <group>L1_Knowledge</group>
      <groupName>知识性问题</groupName>
      <ability>L2_Knowledge</ability>
      <abilityName>其他知识</abilityName>
      <candidateList>
        <item>20万—25万</item>
      </candidateList>
      <explain>1. “20-25万”中的单位“万”仅出现在后一个数字上，容易引起歧义；根据《现代汉语标点符号数字用法规范手册》，数字表示范围两边需要使用统一的格式。2.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5972407C</paraID>
      <start>0</start>
      <end>6</end>
      <status>unmodified</status>
      <modifiedWord/>
      <trackRevisions>false</trackRevisions>
    </reviewItem>
    <reviewItem>
      <errorID>6f155dbc-7939-4c15-82e6-80c3289b45b6</errorID>
      <errorWord>15-18万</errorWord>
      <group>L1_Knowledge</group>
      <groupName>知识性问题</groupName>
      <ability>L2_Knowledge</ability>
      <abilityName>其他知识</abilityName>
      <candidateList>
        <item>15万—18万</item>
      </candidateList>
      <explain>1. “15-18万”中的单位“万”仅出现在后一个数字上，容易引起歧义；根据《现代汉语标点符号数字用法规范手册》，数字表示范围两边需要使用统一的格式。2.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7EAE6BBC</paraID>
      <start>0</start>
      <end>6</end>
      <status>unmodified</status>
      <modifiedWord/>
      <trackRevisions>false</trackRevisions>
    </reviewItem>
    <reviewItem>
      <errorID>fa7645d8-ce65-4d36-ab0c-3a50cd00e32a</errorID>
      <errorWord>15-18万</errorWord>
      <group>L1_Knowledge</group>
      <groupName>知识性问题</groupName>
      <ability>L2_Knowledge</ability>
      <abilityName>其他知识</abilityName>
      <candidateList>
        <item>15万—18万</item>
      </candidateList>
      <explain>1. “15-18万”中的单位“万”仅出现在后一个数字上，容易引起歧义；根据《现代汉语标点符号数字用法规范手册》，数字表示范围两边需要使用统一的格式。2.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48709B8B</paraID>
      <start>0</start>
      <end>6</end>
      <status>unmodified</status>
      <modifiedWord/>
      <trackRevisions>false</trackRevisions>
    </reviewItem>
    <reviewItem>
      <errorID>cb9ee982-8caf-43eb-a022-4e59dc53826f</errorID>
      <errorWord>整体的</errorWord>
      <group>L1_Word</group>
      <groupName>字词问题</groupName>
      <ability>L2_Typo</ability>
      <abilityName>字词错误</abilityName>
      <candidateList>
        <item>整体</item>
      </candidateList>
      <explain/>
      <paraID>6D49C895</paraID>
      <start>10</start>
      <end>12</end>
      <status>modified</status>
      <modifiedWord>整体</modifiedWord>
      <trackRevisions>false</trackRevisions>
    </reviewItem>
    <reviewItem>
      <errorID>90c644a5-1832-4921-9682-57bdae1f443a</errorID>
      <errorWord>15-18万</errorWord>
      <group>L1_Knowledge</group>
      <groupName>知识性问题</groupName>
      <ability>L2_Knowledge</ability>
      <abilityName>其他知识</abilityName>
      <candidateList>
        <item>15万—18万</item>
      </candidateList>
      <explain>1. “15-18万”中的单位“万”仅出现在后一个数字上，容易引起歧义；根据《现代汉语标点符号数字用法规范手册》，数字表示范围两边需要使用统一的格式。2.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32953B5A</paraID>
      <start>0</start>
      <end>6</end>
      <status>ignored</status>
      <modifiedWord/>
      <trackRevisions>false</trackRevisions>
    </reviewItem>
    <reviewItem>
      <errorID>487aa9f7-2535-40c7-8e69-a748d9aa0a09</errorID>
      <errorWord>银行、金融机构</errorWord>
      <group>L1_Political</group>
      <groupName>政治性问题</groupName>
      <ability>L2_Keyword</ability>
      <abilityName>固定表述</abilityName>
      <candidateList>
        <item>银行业金融机构</item>
      </candidateList>
      <explain>词汇“银行业金融机构”在特定场景下为固定表述形式，请确认此处的“银行、金融机构”是否存在不当。</explain>
      <paraID>576A359D</paraID>
      <start>24</start>
      <end>31</end>
      <status>ignored</status>
      <modifiedWord/>
      <trackRevisions>false</trackRevisions>
    </reviewItem>
    <reviewItem>
      <errorID>be67feb2-b39a-4dcc-b89e-58038388b251</errorID>
      <errorWord>13-16万</errorWord>
      <group>L1_Knowledge</group>
      <groupName>知识性问题</groupName>
      <ability>L2_Knowledge</ability>
      <abilityName>其他知识</abilityName>
      <candidateList>
        <item>13万—16万</item>
      </candidateList>
      <explain>1. “13-16万”中的单位“万”仅出现在后一个数字上，容易引起歧义；根据《现代汉语标点符号数字用法规范手册》，数字表示范围两边需要使用统一的格式。2.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1C4322FF</paraID>
      <start>0</start>
      <end>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d1b6f56-69c9-433a-bb4f-bd006b894ef1}">
  <ds:schemaRefs/>
</ds:datastoreItem>
</file>

<file path=docProps/app.xml><?xml version="1.0" encoding="utf-8"?>
<Properties xmlns="http://schemas.openxmlformats.org/officeDocument/2006/extended-properties" xmlns:vt="http://schemas.openxmlformats.org/officeDocument/2006/docPropsVTypes">
  <Template>Normal</Template>
  <Pages>9</Pages>
  <Words>19209</Words>
  <Characters>20555</Characters>
  <Lines>821</Lines>
  <Paragraphs>598</Paragraphs>
  <TotalTime>17</TotalTime>
  <ScaleCrop>false</ScaleCrop>
  <LinksUpToDate>false</LinksUpToDate>
  <CharactersWithSpaces>20599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2023-08-24T14:03:00Z</dcterms:created>
  <dc:creator>李霜</dc:creator>
  <cp:lastModifiedBy>L</cp:lastModifiedBy>
  <cp:lastPrinted>2026-10-26T02:24:00Z</cp:lastPrinted>
  <dcterms:modified xsi:type="dcterms:W3CDTF">2026-10-26T08:41:07Z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BB87ABD79BFE42FDBD81E8C7E78EA1EF_13</vt:lpwstr>
  </property>
  <property fmtid="{D5CDD505-2E9C-101B-9397-08002B2CF9AE}" pid="4" name="KSOTemplateDocerSaveRecord">
    <vt:lpwstr>eyJoZGlkIjoiYWQwMzU4ZDk0ZTI0ZmEwMDE1MDU1YmQ0MTNhNWE5OGUiLCJ1c2VySWQiOiIyNDk5MjAyMDgifQ==</vt:lpwstr>
  </property>
</Properties>
</file>