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C97E3">
      <w:pPr>
        <w:spacing w:line="579" w:lineRule="exact"/>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rPr>
        <w:t>附件</w:t>
      </w:r>
      <w:r>
        <w:rPr>
          <w:rFonts w:hint="eastAsia" w:ascii="方正黑体_GBK" w:hAnsi="方正黑体_GBK" w:eastAsia="方正黑体_GBK" w:cs="方正黑体_GBK"/>
          <w:sz w:val="34"/>
          <w:szCs w:val="34"/>
          <w:lang w:val="en-US" w:eastAsia="zh-CN"/>
        </w:rPr>
        <w:t>3</w:t>
      </w:r>
    </w:p>
    <w:p w14:paraId="40048949">
      <w:pPr>
        <w:keepNext w:val="0"/>
        <w:keepLines w:val="0"/>
        <w:pageBreakBefore w:val="0"/>
        <w:widowControl w:val="0"/>
        <w:kinsoku/>
        <w:wordWrap/>
        <w:overflowPunct/>
        <w:topLinePunct w:val="0"/>
        <w:autoSpaceDE/>
        <w:autoSpaceDN/>
        <w:bidi w:val="0"/>
        <w:adjustRightInd/>
        <w:snapToGrid/>
        <w:spacing w:before="314" w:beforeLines="100" w:after="314" w:afterLines="100" w:line="212" w:lineRule="auto"/>
        <w:ind w:right="0" w:rightChars="0"/>
        <w:jc w:val="center"/>
        <w:textAlignment w:val="auto"/>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val="en-US" w:eastAsia="zh-CN"/>
        </w:rPr>
        <w:t>湖南蓉园集团有限公司公开</w:t>
      </w:r>
      <w:r>
        <w:rPr>
          <w:rFonts w:hint="eastAsia" w:ascii="方正小标宋简体" w:hAnsi="方正小标宋简体" w:eastAsia="方正小标宋简体" w:cs="方正小标宋简体"/>
          <w:sz w:val="40"/>
          <w:szCs w:val="40"/>
        </w:rPr>
        <w:t>招聘</w:t>
      </w:r>
      <w:r>
        <w:rPr>
          <w:rFonts w:hint="eastAsia" w:ascii="方正小标宋简体" w:hAnsi="方正小标宋简体" w:eastAsia="方正小标宋简体" w:cs="方正小标宋简体"/>
          <w:sz w:val="40"/>
          <w:szCs w:val="40"/>
          <w:lang w:val="en-US" w:eastAsia="zh-CN"/>
        </w:rPr>
        <w:t>岗位</w:t>
      </w:r>
      <w:r>
        <w:rPr>
          <w:rFonts w:hint="eastAsia" w:ascii="方正小标宋简体" w:hAnsi="方正小标宋简体" w:eastAsia="方正小标宋简体" w:cs="方正小标宋简体"/>
          <w:sz w:val="40"/>
          <w:szCs w:val="40"/>
        </w:rPr>
        <w:t>任职资格和岗位职责</w:t>
      </w:r>
    </w:p>
    <w:tbl>
      <w:tblPr>
        <w:tblStyle w:val="8"/>
        <w:tblW w:w="15497" w:type="dxa"/>
        <w:tblInd w:w="-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892"/>
        <w:gridCol w:w="5837"/>
        <w:gridCol w:w="7439"/>
      </w:tblGrid>
      <w:tr w14:paraId="4980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1329" w:type="dxa"/>
            <w:shd w:val="clear" w:color="auto" w:fill="auto"/>
            <w:vAlign w:val="center"/>
          </w:tcPr>
          <w:p w14:paraId="0A11856C">
            <w:pPr>
              <w:kinsoku w:val="0"/>
              <w:autoSpaceDE w:val="0"/>
              <w:autoSpaceDN w:val="0"/>
              <w:adjustRightInd w:val="0"/>
              <w:snapToGrid w:val="0"/>
              <w:spacing w:before="62" w:line="340" w:lineRule="exact"/>
              <w:jc w:val="center"/>
              <w:textAlignment w:val="baseline"/>
              <w:rPr>
                <w:rFonts w:hint="eastAsia" w:ascii="仿宋" w:hAnsi="仿宋" w:eastAsia="仿宋" w:cs="仿宋"/>
                <w:b/>
                <w:bCs/>
                <w:snapToGrid w:val="0"/>
                <w:color w:val="000000"/>
                <w:kern w:val="0"/>
                <w:sz w:val="24"/>
                <w:szCs w:val="24"/>
                <w:lang w:val="en-US" w:eastAsia="zh-CN" w:bidi="ar-SA"/>
              </w:rPr>
            </w:pPr>
            <w:r>
              <w:rPr>
                <w:rFonts w:hint="eastAsia" w:ascii="仿宋" w:hAnsi="仿宋" w:eastAsia="仿宋" w:cs="仿宋"/>
                <w:b/>
                <w:bCs/>
                <w:spacing w:val="5"/>
                <w:sz w:val="24"/>
              </w:rPr>
              <w:t>岗位</w:t>
            </w:r>
            <w:r>
              <w:rPr>
                <w:rFonts w:hint="eastAsia" w:ascii="仿宋" w:hAnsi="仿宋" w:eastAsia="仿宋" w:cs="仿宋"/>
                <w:b/>
                <w:bCs/>
                <w:spacing w:val="4"/>
                <w:sz w:val="24"/>
              </w:rPr>
              <w:t>名称</w:t>
            </w:r>
          </w:p>
        </w:tc>
        <w:tc>
          <w:tcPr>
            <w:tcW w:w="892" w:type="dxa"/>
            <w:shd w:val="clear" w:color="auto" w:fill="auto"/>
            <w:vAlign w:val="center"/>
          </w:tcPr>
          <w:p w14:paraId="556EE6B7">
            <w:pPr>
              <w:kinsoku w:val="0"/>
              <w:autoSpaceDE w:val="0"/>
              <w:autoSpaceDN w:val="0"/>
              <w:adjustRightInd w:val="0"/>
              <w:snapToGrid w:val="0"/>
              <w:spacing w:line="340" w:lineRule="exact"/>
              <w:jc w:val="center"/>
              <w:textAlignment w:val="baseline"/>
              <w:rPr>
                <w:rFonts w:hint="eastAsia" w:ascii="仿宋" w:hAnsi="仿宋" w:eastAsia="仿宋" w:cs="仿宋"/>
                <w:b/>
                <w:bCs/>
                <w:kern w:val="2"/>
                <w:sz w:val="21"/>
                <w:szCs w:val="24"/>
                <w:lang w:val="en-US" w:eastAsia="zh-CN" w:bidi="ar-SA"/>
              </w:rPr>
            </w:pPr>
            <w:r>
              <w:rPr>
                <w:rFonts w:hint="eastAsia" w:ascii="仿宋" w:hAnsi="仿宋" w:eastAsia="仿宋" w:cs="仿宋"/>
                <w:b/>
                <w:bCs/>
                <w:spacing w:val="4"/>
                <w:sz w:val="24"/>
              </w:rPr>
              <w:t>人</w:t>
            </w:r>
            <w:r>
              <w:rPr>
                <w:rFonts w:hint="eastAsia" w:ascii="仿宋" w:hAnsi="仿宋" w:eastAsia="仿宋" w:cs="仿宋"/>
                <w:b/>
                <w:bCs/>
                <w:spacing w:val="3"/>
                <w:sz w:val="24"/>
              </w:rPr>
              <w:t>数</w:t>
            </w:r>
          </w:p>
        </w:tc>
        <w:tc>
          <w:tcPr>
            <w:tcW w:w="5837" w:type="dxa"/>
            <w:vAlign w:val="center"/>
          </w:tcPr>
          <w:p w14:paraId="1CBBB06D">
            <w:pPr>
              <w:kinsoku w:val="0"/>
              <w:autoSpaceDE w:val="0"/>
              <w:autoSpaceDN w:val="0"/>
              <w:adjustRightInd w:val="0"/>
              <w:snapToGrid w:val="0"/>
              <w:spacing w:before="62" w:line="340" w:lineRule="exact"/>
              <w:jc w:val="center"/>
              <w:textAlignment w:val="baseline"/>
              <w:rPr>
                <w:rFonts w:ascii="仿宋" w:hAnsi="仿宋" w:eastAsia="仿宋" w:cs="仿宋"/>
                <w:b/>
                <w:bCs/>
                <w:snapToGrid w:val="0"/>
                <w:color w:val="000000"/>
                <w:kern w:val="0"/>
                <w:sz w:val="24"/>
              </w:rPr>
            </w:pPr>
            <w:r>
              <w:rPr>
                <w:rFonts w:hint="eastAsia" w:ascii="仿宋" w:hAnsi="仿宋" w:eastAsia="仿宋" w:cs="仿宋"/>
                <w:b/>
                <w:bCs/>
                <w:spacing w:val="7"/>
                <w:sz w:val="24"/>
                <w:lang w:val="en-US" w:eastAsia="zh-CN"/>
              </w:rPr>
              <w:t>任职资格</w:t>
            </w:r>
          </w:p>
        </w:tc>
        <w:tc>
          <w:tcPr>
            <w:tcW w:w="7439" w:type="dxa"/>
            <w:vAlign w:val="center"/>
          </w:tcPr>
          <w:p w14:paraId="2BEBA9D1">
            <w:pPr>
              <w:widowControl/>
              <w:kinsoku w:val="0"/>
              <w:autoSpaceDE w:val="0"/>
              <w:autoSpaceDN w:val="0"/>
              <w:adjustRightInd w:val="0"/>
              <w:snapToGrid w:val="0"/>
              <w:spacing w:line="340" w:lineRule="exact"/>
              <w:jc w:val="center"/>
              <w:textAlignment w:val="baseline"/>
              <w:rPr>
                <w:rFonts w:ascii="仿宋" w:hAnsi="仿宋" w:eastAsia="仿宋" w:cs="仿宋"/>
                <w:b/>
                <w:bCs/>
                <w:snapToGrid w:val="0"/>
                <w:color w:val="000000"/>
                <w:kern w:val="0"/>
                <w:sz w:val="24"/>
              </w:rPr>
            </w:pPr>
            <w:r>
              <w:rPr>
                <w:rFonts w:hint="eastAsia" w:ascii="仿宋" w:hAnsi="仿宋" w:eastAsia="仿宋" w:cs="仿宋"/>
                <w:b/>
                <w:bCs/>
                <w:spacing w:val="7"/>
                <w:sz w:val="24"/>
              </w:rPr>
              <w:t>岗位</w:t>
            </w:r>
            <w:r>
              <w:rPr>
                <w:rFonts w:hint="eastAsia" w:ascii="仿宋" w:hAnsi="仿宋" w:eastAsia="仿宋" w:cs="仿宋"/>
                <w:b/>
                <w:bCs/>
                <w:spacing w:val="6"/>
                <w:sz w:val="24"/>
              </w:rPr>
              <w:t>职责</w:t>
            </w:r>
          </w:p>
        </w:tc>
      </w:tr>
      <w:tr w14:paraId="2301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2" w:hRule="atLeast"/>
        </w:trPr>
        <w:tc>
          <w:tcPr>
            <w:tcW w:w="1329" w:type="dxa"/>
            <w:shd w:val="clear" w:color="auto" w:fill="auto"/>
            <w:vAlign w:val="center"/>
          </w:tcPr>
          <w:p w14:paraId="0F946DDD">
            <w:pPr>
              <w:widowControl/>
              <w:jc w:val="center"/>
              <w:rPr>
                <w:rFonts w:hint="eastAsia" w:cs="Times New Roman"/>
                <w:szCs w:val="21"/>
                <w:highlight w:val="none"/>
                <w:lang w:val="en-US" w:eastAsia="zh-CN"/>
              </w:rPr>
            </w:pPr>
            <w:r>
              <w:rPr>
                <w:rFonts w:hint="eastAsia" w:cs="Times New Roman"/>
                <w:szCs w:val="21"/>
                <w:highlight w:val="none"/>
                <w:lang w:val="en-US" w:eastAsia="zh-CN"/>
              </w:rPr>
              <w:t>集团总部</w:t>
            </w:r>
          </w:p>
          <w:p w14:paraId="528AB2B6">
            <w:pPr>
              <w:widowControl/>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财务资产部权证报建</w:t>
            </w:r>
            <w:r>
              <w:rPr>
                <w:rFonts w:hint="eastAsia" w:cs="Times New Roman"/>
                <w:szCs w:val="21"/>
                <w:highlight w:val="none"/>
                <w:lang w:val="en-US" w:eastAsia="zh-CN"/>
              </w:rPr>
              <w:t>岗</w:t>
            </w:r>
            <w:r>
              <w:rPr>
                <w:rFonts w:hint="eastAsia" w:cs="Times New Roman"/>
                <w:szCs w:val="21"/>
                <w:highlight w:val="none"/>
                <w:lang w:val="en-US" w:eastAsia="zh-CN"/>
              </w:rPr>
              <w:br w:type="textWrapping"/>
            </w:r>
            <w:r>
              <w:rPr>
                <w:rFonts w:hint="eastAsia" w:cs="Times New Roman"/>
                <w:szCs w:val="21"/>
                <w:highlight w:val="none"/>
                <w:lang w:val="en-US" w:eastAsia="zh-CN"/>
              </w:rPr>
              <w:t>（主办级）</w:t>
            </w:r>
          </w:p>
          <w:p w14:paraId="1531BE26">
            <w:pPr>
              <w:widowControl/>
              <w:kinsoku w:val="0"/>
              <w:autoSpaceDE w:val="0"/>
              <w:autoSpaceDN w:val="0"/>
              <w:adjustRightInd w:val="0"/>
              <w:snapToGrid w:val="0"/>
              <w:spacing w:line="380" w:lineRule="exact"/>
              <w:ind w:right="34" w:rightChars="0"/>
              <w:jc w:val="center"/>
              <w:textAlignment w:val="baseline"/>
              <w:rPr>
                <w:rFonts w:hint="default" w:ascii="Times New Roman" w:hAnsi="Times New Roman" w:eastAsia="宋体" w:cs="Times New Roman"/>
                <w:kern w:val="2"/>
                <w:sz w:val="21"/>
                <w:szCs w:val="21"/>
                <w:lang w:val="en-US" w:eastAsia="zh-CN" w:bidi="ar-SA"/>
              </w:rPr>
            </w:pPr>
          </w:p>
        </w:tc>
        <w:tc>
          <w:tcPr>
            <w:tcW w:w="892" w:type="dxa"/>
            <w:shd w:val="clear" w:color="auto" w:fill="auto"/>
            <w:vAlign w:val="center"/>
          </w:tcPr>
          <w:p w14:paraId="405A8E14">
            <w:pPr>
              <w:widowControl/>
              <w:kinsoku w:val="0"/>
              <w:autoSpaceDE w:val="0"/>
              <w:autoSpaceDN w:val="0"/>
              <w:adjustRightInd w:val="0"/>
              <w:snapToGrid w:val="0"/>
              <w:spacing w:line="380" w:lineRule="exact"/>
              <w:ind w:right="34" w:rightChars="0"/>
              <w:jc w:val="center"/>
              <w:textAlignment w:val="baseline"/>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rPr>
              <w:t>1</w:t>
            </w:r>
          </w:p>
        </w:tc>
        <w:tc>
          <w:tcPr>
            <w:tcW w:w="5837" w:type="dxa"/>
            <w:vAlign w:val="top"/>
          </w:tcPr>
          <w:p w14:paraId="3FE3228E">
            <w:pPr>
              <w:keepNext w:val="0"/>
              <w:keepLines w:val="0"/>
              <w:pageBreakBefore w:val="0"/>
              <w:widowControl/>
              <w:kinsoku/>
              <w:wordWrap/>
              <w:overflowPunct/>
              <w:topLinePunct w:val="0"/>
              <w:autoSpaceDE/>
              <w:autoSpaceDN/>
              <w:bidi w:val="0"/>
              <w:adjustRightInd/>
              <w:snapToGrid/>
              <w:spacing w:before="314" w:beforeLines="1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highlight w:val="none"/>
              </w:rPr>
              <w:t>1</w:t>
            </w:r>
            <w:r>
              <w:rPr>
                <w:rFonts w:hint="eastAsia" w:ascii="宋体" w:hAnsi="宋体" w:eastAsia="宋体" w:cs="宋体"/>
                <w:sz w:val="21"/>
                <w:szCs w:val="21"/>
                <w:lang w:eastAsia="zh-CN"/>
              </w:rPr>
              <w:t>年龄在</w:t>
            </w:r>
            <w:r>
              <w:rPr>
                <w:rFonts w:hint="eastAsia" w:ascii="宋体" w:hAnsi="宋体" w:eastAsia="宋体" w:cs="宋体"/>
                <w:sz w:val="21"/>
                <w:szCs w:val="21"/>
              </w:rPr>
              <w:t>4</w:t>
            </w:r>
            <w:r>
              <w:rPr>
                <w:rFonts w:hint="eastAsia" w:ascii="宋体" w:hAnsi="宋体" w:eastAsia="宋体" w:cs="宋体"/>
                <w:sz w:val="21"/>
                <w:szCs w:val="21"/>
                <w:lang w:val="en-US" w:eastAsia="zh-CN"/>
              </w:rPr>
              <w:t>0</w:t>
            </w:r>
            <w:r>
              <w:rPr>
                <w:rFonts w:hint="eastAsia" w:ascii="宋体" w:hAnsi="宋体" w:eastAsia="宋体" w:cs="宋体"/>
                <w:sz w:val="21"/>
                <w:szCs w:val="21"/>
              </w:rPr>
              <w:t>周岁及以下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1986年9月30日以后出生</w:t>
            </w:r>
            <w:r>
              <w:rPr>
                <w:rFonts w:hint="eastAsia" w:ascii="宋体" w:hAnsi="宋体" w:eastAsia="宋体" w:cs="宋体"/>
                <w:sz w:val="21"/>
                <w:szCs w:val="21"/>
                <w:lang w:eastAsia="zh-CN"/>
              </w:rPr>
              <w:t>）</w:t>
            </w:r>
            <w:r>
              <w:rPr>
                <w:rFonts w:hint="eastAsia" w:ascii="宋体" w:hAnsi="宋体" w:cs="宋体"/>
                <w:sz w:val="21"/>
                <w:szCs w:val="21"/>
                <w:lang w:eastAsia="zh-CN"/>
              </w:rPr>
              <w:t>。</w:t>
            </w:r>
          </w:p>
          <w:p w14:paraId="3721C73E">
            <w:pPr>
              <w:widowControl/>
              <w:jc w:val="both"/>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本科</w:t>
            </w:r>
            <w:r>
              <w:rPr>
                <w:rFonts w:hint="eastAsia" w:ascii="宋体" w:hAnsi="宋体" w:eastAsia="宋体" w:cs="宋体"/>
                <w:sz w:val="21"/>
                <w:szCs w:val="21"/>
              </w:rPr>
              <w:t>及以上学历，土木工程、城乡规划、建筑学、工程管理、房地产开发与管理</w:t>
            </w:r>
            <w:r>
              <w:rPr>
                <w:rFonts w:hint="eastAsia" w:ascii="宋体" w:hAnsi="宋体" w:eastAsia="宋体" w:cs="宋体"/>
                <w:sz w:val="21"/>
                <w:szCs w:val="21"/>
                <w:lang w:eastAsia="zh-CN"/>
              </w:rPr>
              <w:t>、土地资源管理</w:t>
            </w:r>
            <w:r>
              <w:rPr>
                <w:rFonts w:hint="eastAsia" w:ascii="宋体" w:hAnsi="宋体" w:eastAsia="宋体" w:cs="宋体"/>
                <w:sz w:val="21"/>
                <w:szCs w:val="21"/>
              </w:rPr>
              <w:t>等相关专业。</w:t>
            </w:r>
          </w:p>
          <w:p w14:paraId="43779E7C">
            <w:pPr>
              <w:widowControl/>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.熟悉自然资源、住建、不动产登记</w:t>
            </w:r>
            <w:r>
              <w:rPr>
                <w:rFonts w:hint="eastAsia" w:ascii="宋体" w:hAnsi="宋体" w:eastAsia="宋体" w:cs="宋体"/>
                <w:sz w:val="21"/>
                <w:szCs w:val="21"/>
                <w:lang w:val="en-US" w:eastAsia="zh-CN"/>
              </w:rPr>
              <w:t>办事规则和</w:t>
            </w:r>
            <w:r>
              <w:rPr>
                <w:rFonts w:hint="eastAsia" w:ascii="宋体" w:hAnsi="宋体" w:eastAsia="宋体" w:cs="宋体"/>
                <w:sz w:val="21"/>
                <w:szCs w:val="21"/>
              </w:rPr>
              <w:t>审批流程；</w:t>
            </w:r>
            <w:r>
              <w:rPr>
                <w:rFonts w:hint="eastAsia" w:ascii="宋体" w:hAnsi="宋体" w:eastAsia="宋体" w:cs="宋体"/>
                <w:sz w:val="21"/>
                <w:szCs w:val="21"/>
                <w:lang w:val="en-US" w:eastAsia="zh-CN"/>
              </w:rPr>
              <w:t>熟练掌握</w:t>
            </w:r>
            <w:r>
              <w:rPr>
                <w:rFonts w:hint="eastAsia" w:ascii="宋体" w:hAnsi="宋体" w:eastAsia="宋体" w:cs="宋体"/>
                <w:sz w:val="21"/>
                <w:szCs w:val="21"/>
              </w:rPr>
              <w:t>存量项目二次改造报审、工程变更、权证转移/变更登记；有长沙政务资源，熟悉湖南工改、施工图、住建云系统者</w:t>
            </w:r>
            <w:r>
              <w:rPr>
                <w:rFonts w:hint="eastAsia" w:ascii="宋体" w:hAnsi="宋体" w:cs="宋体"/>
                <w:sz w:val="21"/>
                <w:szCs w:val="21"/>
                <w:lang w:val="en-US" w:eastAsia="zh-CN"/>
              </w:rPr>
              <w:t>优先</w:t>
            </w:r>
            <w:r>
              <w:rPr>
                <w:rFonts w:hint="eastAsia" w:ascii="宋体" w:hAnsi="宋体" w:eastAsia="宋体" w:cs="宋体"/>
                <w:sz w:val="21"/>
                <w:szCs w:val="21"/>
              </w:rPr>
              <w:t>。</w:t>
            </w:r>
          </w:p>
          <w:p w14:paraId="71D93928">
            <w:pPr>
              <w:widowControl/>
              <w:jc w:val="both"/>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highlight w:val="none"/>
              </w:rPr>
              <w:t>8年以上相关工作经验，至少有</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rPr>
              <w:t>年及以上工程报建</w:t>
            </w:r>
            <w:r>
              <w:rPr>
                <w:rFonts w:hint="eastAsia" w:ascii="宋体" w:hAnsi="宋体" w:cs="宋体"/>
                <w:sz w:val="21"/>
                <w:szCs w:val="21"/>
                <w:lang w:val="en-US" w:eastAsia="zh-CN"/>
              </w:rPr>
              <w:t>和</w:t>
            </w:r>
            <w:r>
              <w:rPr>
                <w:rFonts w:hint="eastAsia" w:ascii="宋体" w:hAnsi="宋体" w:eastAsia="宋体" w:cs="宋体"/>
                <w:sz w:val="21"/>
                <w:szCs w:val="21"/>
              </w:rPr>
              <w:t>不动产权证办理</w:t>
            </w:r>
            <w:r>
              <w:rPr>
                <w:rFonts w:hint="eastAsia" w:ascii="宋体" w:hAnsi="宋体" w:eastAsia="宋体" w:cs="宋体"/>
                <w:sz w:val="21"/>
                <w:szCs w:val="21"/>
                <w:lang w:val="en-US" w:eastAsia="zh-CN"/>
              </w:rPr>
              <w:t>工作</w:t>
            </w:r>
            <w:r>
              <w:rPr>
                <w:rFonts w:hint="eastAsia" w:ascii="宋体" w:hAnsi="宋体" w:eastAsia="宋体" w:cs="宋体"/>
                <w:sz w:val="21"/>
                <w:szCs w:val="21"/>
              </w:rPr>
              <w:t>经验</w:t>
            </w:r>
            <w:r>
              <w:rPr>
                <w:rFonts w:hint="eastAsia" w:ascii="宋体" w:hAnsi="宋体" w:cs="宋体"/>
                <w:sz w:val="21"/>
                <w:szCs w:val="21"/>
                <w:lang w:eastAsia="zh-CN"/>
              </w:rPr>
              <w:t>，</w:t>
            </w:r>
            <w:r>
              <w:rPr>
                <w:rFonts w:hint="eastAsia" w:ascii="宋体" w:hAnsi="宋体" w:eastAsia="宋体" w:cs="宋体"/>
                <w:sz w:val="21"/>
                <w:szCs w:val="21"/>
                <w:lang w:val="en-US" w:eastAsia="zh-CN"/>
              </w:rPr>
              <w:t>具有至少一个完整项目从拿地、报建到竣工备案（或不动产首次登记）的工作</w:t>
            </w:r>
            <w:r>
              <w:rPr>
                <w:rFonts w:hint="eastAsia" w:ascii="宋体" w:hAnsi="宋体" w:cs="宋体"/>
                <w:sz w:val="21"/>
                <w:szCs w:val="21"/>
                <w:lang w:val="en-US" w:eastAsia="zh-CN"/>
              </w:rPr>
              <w:t>案例</w:t>
            </w:r>
            <w:r>
              <w:rPr>
                <w:rFonts w:hint="eastAsia" w:ascii="宋体" w:hAnsi="宋体" w:eastAsia="宋体" w:cs="宋体"/>
                <w:sz w:val="21"/>
                <w:szCs w:val="21"/>
              </w:rPr>
              <w:t>。</w:t>
            </w:r>
          </w:p>
          <w:p w14:paraId="697ED328">
            <w:pPr>
              <w:widowControl/>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highlight w:val="none"/>
              </w:rPr>
              <w:t>具有中级</w:t>
            </w:r>
            <w:r>
              <w:rPr>
                <w:rFonts w:hint="eastAsia" w:ascii="宋体" w:hAnsi="宋体" w:eastAsia="宋体" w:cs="宋体"/>
                <w:sz w:val="21"/>
                <w:szCs w:val="21"/>
                <w:highlight w:val="none"/>
                <w:lang w:val="en-US" w:eastAsia="zh-CN"/>
              </w:rPr>
              <w:t>经济类</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工程类</w:t>
            </w:r>
            <w:r>
              <w:rPr>
                <w:rFonts w:hint="eastAsia" w:ascii="宋体" w:hAnsi="宋体" w:eastAsia="宋体" w:cs="宋体"/>
                <w:sz w:val="21"/>
                <w:szCs w:val="21"/>
                <w:highlight w:val="none"/>
              </w:rPr>
              <w:t>职称</w:t>
            </w:r>
            <w:r>
              <w:rPr>
                <w:rFonts w:hint="eastAsia" w:ascii="宋体" w:hAnsi="宋体" w:eastAsia="宋体" w:cs="宋体"/>
                <w:sz w:val="21"/>
                <w:szCs w:val="21"/>
                <w:highlight w:val="none"/>
                <w:lang w:val="en-US" w:eastAsia="zh-CN"/>
              </w:rPr>
              <w:t>或</w:t>
            </w:r>
            <w:r>
              <w:rPr>
                <w:rFonts w:hint="eastAsia" w:ascii="宋体" w:hAnsi="宋体" w:eastAsia="宋体" w:cs="宋体"/>
                <w:sz w:val="21"/>
                <w:szCs w:val="21"/>
                <w:highlight w:val="none"/>
              </w:rPr>
              <w:t>一级建造师</w:t>
            </w:r>
            <w:r>
              <w:rPr>
                <w:rFonts w:hint="eastAsia" w:ascii="宋体" w:hAnsi="宋体" w:eastAsia="宋体" w:cs="宋体"/>
                <w:sz w:val="21"/>
                <w:szCs w:val="21"/>
                <w:highlight w:val="none"/>
                <w:lang w:val="en-US" w:eastAsia="zh-CN"/>
              </w:rPr>
              <w:t>证或</w:t>
            </w:r>
            <w:r>
              <w:rPr>
                <w:rFonts w:hint="eastAsia" w:ascii="宋体" w:hAnsi="宋体" w:eastAsia="宋体" w:cs="宋体"/>
                <w:sz w:val="21"/>
                <w:szCs w:val="21"/>
                <w:lang w:val="en-US" w:eastAsia="zh-CN"/>
              </w:rPr>
              <w:t>房地产经纪人等证书</w:t>
            </w:r>
            <w:r>
              <w:rPr>
                <w:rFonts w:hint="eastAsia" w:ascii="宋体" w:hAnsi="宋体" w:eastAsia="宋体" w:cs="宋体"/>
                <w:sz w:val="21"/>
                <w:szCs w:val="21"/>
              </w:rPr>
              <w:t>。</w:t>
            </w:r>
          </w:p>
          <w:p w14:paraId="3BF40F31">
            <w:pPr>
              <w:widowControl/>
              <w:jc w:val="both"/>
              <w:rPr>
                <w:rFonts w:hint="default" w:ascii="Times New Roman" w:hAnsi="Times New Roman" w:eastAsia="宋体" w:cs="Times New Roman"/>
                <w:szCs w:val="21"/>
                <w:highlight w:val="none"/>
              </w:rPr>
            </w:pPr>
            <w:bookmarkStart w:id="0" w:name="_GoBack"/>
            <w:bookmarkEnd w:id="0"/>
          </w:p>
        </w:tc>
        <w:tc>
          <w:tcPr>
            <w:tcW w:w="7439" w:type="dxa"/>
            <w:shd w:val="clear" w:color="auto" w:fill="auto"/>
            <w:vAlign w:val="top"/>
          </w:tcPr>
          <w:p w14:paraId="34CBB7BB">
            <w:pPr>
              <w:widowControl/>
              <w:jc w:val="both"/>
              <w:rPr>
                <w:rFonts w:hint="default" w:ascii="Times New Roman" w:hAnsi="Times New Roman" w:eastAsia="宋体" w:cs="Times New Roman"/>
                <w:szCs w:val="21"/>
              </w:rPr>
            </w:pPr>
            <w:r>
              <w:rPr>
                <w:rFonts w:hint="default" w:ascii="Times New Roman" w:hAnsi="Times New Roman" w:eastAsia="宋体" w:cs="Times New Roman"/>
                <w:szCs w:val="21"/>
              </w:rPr>
              <w:t>1.权证管理工作：负责项目不动产首次登记、权属变更、产权转移、房屋/土地合证、分证等全流程业务，开展权属核查、资料核验，梳理并解决项目权属历史遗留问题。</w:t>
            </w:r>
          </w:p>
          <w:p w14:paraId="7BF7238A">
            <w:pPr>
              <w:widowControl/>
              <w:jc w:val="both"/>
              <w:rPr>
                <w:rFonts w:hint="default" w:ascii="Times New Roman" w:hAnsi="Times New Roman" w:eastAsia="宋体" w:cs="Times New Roman"/>
                <w:szCs w:val="21"/>
              </w:rPr>
            </w:pPr>
            <w:r>
              <w:rPr>
                <w:rFonts w:hint="default" w:ascii="Times New Roman" w:hAnsi="Times New Roman" w:eastAsia="宋体" w:cs="Times New Roman"/>
                <w:szCs w:val="21"/>
              </w:rPr>
              <w:t>2.二次报建工作：主导存量物业改扩建、装修改造等项目的二次报建业务，涵盖规划变更、施工图报审、施工许可办理、工程变更报备、竣工验收备案等全流程手续；精准区分存量改造项目报批、备案边界，确保改造项目合规落地。</w:t>
            </w:r>
          </w:p>
          <w:p w14:paraId="30935DD7">
            <w:pPr>
              <w:widowControl/>
              <w:jc w:val="both"/>
              <w:rPr>
                <w:rFonts w:hint="default" w:ascii="Times New Roman" w:hAnsi="Times New Roman" w:eastAsia="宋体" w:cs="Times New Roman"/>
                <w:szCs w:val="21"/>
              </w:rPr>
            </w:pPr>
            <w:r>
              <w:rPr>
                <w:rFonts w:hint="default" w:ascii="Times New Roman" w:hAnsi="Times New Roman" w:eastAsia="宋体" w:cs="Times New Roman"/>
                <w:szCs w:val="21"/>
              </w:rPr>
              <w:t>3.资料与档案管理：独立编制报建申请、情况说明、报批全套资料，整理项目图纸、权属文件、审批文书、合同资料等，建立标准化项目权属及报建档案，实现资料可查、可追溯。</w:t>
            </w:r>
          </w:p>
          <w:p w14:paraId="256E1679">
            <w:pPr>
              <w:widowControl/>
              <w:jc w:val="both"/>
              <w:rPr>
                <w:rFonts w:hint="default" w:ascii="Times New Roman" w:hAnsi="Times New Roman" w:eastAsia="宋体" w:cs="Times New Roman"/>
                <w:szCs w:val="21"/>
              </w:rPr>
            </w:pPr>
            <w:r>
              <w:rPr>
                <w:rFonts w:hint="default" w:ascii="Times New Roman" w:hAnsi="Times New Roman" w:eastAsia="宋体" w:cs="Times New Roman"/>
                <w:szCs w:val="21"/>
              </w:rPr>
              <w:t>4.政企对接协调：常态化对接自然资源局、住建局、不动产登记中心等政府窗口及业务科室，跟进审批进度，主动沟通、协调解决报批过程中的各类问题，保障审批节点落地。</w:t>
            </w:r>
          </w:p>
          <w:p w14:paraId="11260068">
            <w:pPr>
              <w:widowControl/>
              <w:jc w:val="both"/>
              <w:rPr>
                <w:rFonts w:hint="default" w:ascii="Times New Roman" w:hAnsi="Times New Roman" w:eastAsia="宋体" w:cs="Times New Roman"/>
                <w:szCs w:val="21"/>
              </w:rPr>
            </w:pPr>
            <w:r>
              <w:rPr>
                <w:rFonts w:hint="default" w:ascii="Times New Roman" w:hAnsi="Times New Roman" w:eastAsia="宋体" w:cs="Times New Roman"/>
                <w:szCs w:val="21"/>
              </w:rPr>
              <w:t>5.资产盘活配合：配合集团存量资产盘活、国资不动产处置、资产转让等工作，完成权属核查、权证过户、变更报批等相关配套手续，保障资产处置合规推进。</w:t>
            </w:r>
          </w:p>
          <w:p w14:paraId="1511DE6F">
            <w:pPr>
              <w:widowControl/>
              <w:jc w:val="both"/>
              <w:rPr>
                <w:rFonts w:hint="default" w:ascii="Times New Roman" w:hAnsi="Times New Roman" w:eastAsia="宋体" w:cs="Times New Roman"/>
                <w:szCs w:val="21"/>
              </w:rPr>
            </w:pPr>
            <w:r>
              <w:rPr>
                <w:rFonts w:hint="default" w:ascii="Times New Roman" w:hAnsi="Times New Roman" w:eastAsia="宋体" w:cs="Times New Roman"/>
                <w:szCs w:val="21"/>
              </w:rPr>
              <w:t>6.政策风控管理：实时跟踪属地报建、不动产登记、国</w:t>
            </w:r>
            <w:r>
              <w:rPr>
                <w:rFonts w:hint="eastAsia" w:cs="Times New Roman"/>
                <w:szCs w:val="21"/>
                <w:lang w:val="en-US" w:eastAsia="zh-CN"/>
              </w:rPr>
              <w:t>有</w:t>
            </w:r>
            <w:r>
              <w:rPr>
                <w:rFonts w:hint="default" w:ascii="Times New Roman" w:hAnsi="Times New Roman" w:eastAsia="宋体" w:cs="Times New Roman"/>
                <w:szCs w:val="21"/>
              </w:rPr>
              <w:t>资产处置相关政策更新，梳理报批全流程合规风险，规避手续违规、流程遗漏等问题。</w:t>
            </w:r>
          </w:p>
          <w:p w14:paraId="3167F07E">
            <w:pPr>
              <w:adjustRightInd w:val="0"/>
              <w:snapToGrid w:val="0"/>
              <w:spacing w:line="300" w:lineRule="atLeast"/>
              <w:jc w:val="both"/>
              <w:rPr>
                <w:rFonts w:hint="default" w:ascii="Times New Roman" w:hAnsi="Times New Roman" w:eastAsia="宋体" w:cs="Times New Roman"/>
                <w:szCs w:val="21"/>
              </w:rPr>
            </w:pPr>
          </w:p>
        </w:tc>
      </w:tr>
    </w:tbl>
    <w:p w14:paraId="427335F4">
      <w:pPr>
        <w:widowControl/>
        <w:spacing w:line="360" w:lineRule="exact"/>
        <w:ind w:right="428" w:rightChars="204"/>
        <w:rPr>
          <w:rFonts w:hint="eastAsia" w:eastAsia="方正仿宋_GBK"/>
          <w:sz w:val="28"/>
          <w:szCs w:val="28"/>
          <w:lang w:eastAsia="zh-CN"/>
        </w:rPr>
      </w:pPr>
    </w:p>
    <w:sectPr>
      <w:footerReference r:id="rId3" w:type="default"/>
      <w:pgSz w:w="16838" w:h="11906" w:orient="landscape"/>
      <w:pgMar w:top="1247" w:right="1304" w:bottom="1247" w:left="132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5E78">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yOWQwOWRlMmZlYzRmZTYwMTYxOTI1Y2VkYTgyZWYifQ=="/>
  </w:docVars>
  <w:rsids>
    <w:rsidRoot w:val="00172A27"/>
    <w:rsid w:val="00007B55"/>
    <w:rsid w:val="000156DB"/>
    <w:rsid w:val="00031E2E"/>
    <w:rsid w:val="0005484F"/>
    <w:rsid w:val="0007072E"/>
    <w:rsid w:val="0008616A"/>
    <w:rsid w:val="000A671F"/>
    <w:rsid w:val="00103816"/>
    <w:rsid w:val="00140DF2"/>
    <w:rsid w:val="0017181F"/>
    <w:rsid w:val="00172A27"/>
    <w:rsid w:val="001908FC"/>
    <w:rsid w:val="001C2C70"/>
    <w:rsid w:val="001C3945"/>
    <w:rsid w:val="001D236F"/>
    <w:rsid w:val="00267AA7"/>
    <w:rsid w:val="0027368D"/>
    <w:rsid w:val="002B5B43"/>
    <w:rsid w:val="002E089B"/>
    <w:rsid w:val="002E1C6C"/>
    <w:rsid w:val="00335963"/>
    <w:rsid w:val="00337D79"/>
    <w:rsid w:val="003502ED"/>
    <w:rsid w:val="00353129"/>
    <w:rsid w:val="003D693F"/>
    <w:rsid w:val="003F40AC"/>
    <w:rsid w:val="00410184"/>
    <w:rsid w:val="00451488"/>
    <w:rsid w:val="00474404"/>
    <w:rsid w:val="00480B3B"/>
    <w:rsid w:val="004D4AEB"/>
    <w:rsid w:val="004F7517"/>
    <w:rsid w:val="00512E10"/>
    <w:rsid w:val="00561693"/>
    <w:rsid w:val="00584C9C"/>
    <w:rsid w:val="005E3E2F"/>
    <w:rsid w:val="0060028E"/>
    <w:rsid w:val="00600633"/>
    <w:rsid w:val="00605529"/>
    <w:rsid w:val="00641E35"/>
    <w:rsid w:val="006B37EA"/>
    <w:rsid w:val="006D474C"/>
    <w:rsid w:val="00740BE4"/>
    <w:rsid w:val="008303B6"/>
    <w:rsid w:val="00924648"/>
    <w:rsid w:val="00931A06"/>
    <w:rsid w:val="0096461A"/>
    <w:rsid w:val="0098133A"/>
    <w:rsid w:val="00A71FBE"/>
    <w:rsid w:val="00A8654A"/>
    <w:rsid w:val="00B34039"/>
    <w:rsid w:val="00B41825"/>
    <w:rsid w:val="00B51FF2"/>
    <w:rsid w:val="00B5456A"/>
    <w:rsid w:val="00B87E35"/>
    <w:rsid w:val="00BB72AB"/>
    <w:rsid w:val="00BB77FE"/>
    <w:rsid w:val="00BF52BD"/>
    <w:rsid w:val="00C60F62"/>
    <w:rsid w:val="00C77A40"/>
    <w:rsid w:val="00C87E0A"/>
    <w:rsid w:val="00CA59BD"/>
    <w:rsid w:val="00D439AF"/>
    <w:rsid w:val="00D84314"/>
    <w:rsid w:val="00DC4F14"/>
    <w:rsid w:val="00DD077C"/>
    <w:rsid w:val="00E24140"/>
    <w:rsid w:val="00E83F46"/>
    <w:rsid w:val="00E866AC"/>
    <w:rsid w:val="00EE0EAC"/>
    <w:rsid w:val="00F12CF0"/>
    <w:rsid w:val="00F4061E"/>
    <w:rsid w:val="00F4753B"/>
    <w:rsid w:val="00F67012"/>
    <w:rsid w:val="00F900E2"/>
    <w:rsid w:val="00FF35CA"/>
    <w:rsid w:val="01A93FA3"/>
    <w:rsid w:val="01E46D89"/>
    <w:rsid w:val="021463B3"/>
    <w:rsid w:val="021D229B"/>
    <w:rsid w:val="024725F3"/>
    <w:rsid w:val="02B9736C"/>
    <w:rsid w:val="02F900F0"/>
    <w:rsid w:val="032B1DFA"/>
    <w:rsid w:val="03AA0ADF"/>
    <w:rsid w:val="03D41032"/>
    <w:rsid w:val="04074A2A"/>
    <w:rsid w:val="045301F6"/>
    <w:rsid w:val="04810FDB"/>
    <w:rsid w:val="05BA33D2"/>
    <w:rsid w:val="06003D76"/>
    <w:rsid w:val="060C69B2"/>
    <w:rsid w:val="062C0CFF"/>
    <w:rsid w:val="069E48A7"/>
    <w:rsid w:val="06DD4BC3"/>
    <w:rsid w:val="07620C6E"/>
    <w:rsid w:val="085D4644"/>
    <w:rsid w:val="08600680"/>
    <w:rsid w:val="08687FE8"/>
    <w:rsid w:val="086E7FA8"/>
    <w:rsid w:val="09365DEA"/>
    <w:rsid w:val="093C07E0"/>
    <w:rsid w:val="094C3466"/>
    <w:rsid w:val="09604DC0"/>
    <w:rsid w:val="0A23066B"/>
    <w:rsid w:val="0A8B2790"/>
    <w:rsid w:val="0A9511E9"/>
    <w:rsid w:val="0A9F669C"/>
    <w:rsid w:val="0AB6204A"/>
    <w:rsid w:val="0AFA761E"/>
    <w:rsid w:val="0B0E12F7"/>
    <w:rsid w:val="0B826CF8"/>
    <w:rsid w:val="0BBF2615"/>
    <w:rsid w:val="0BD965F3"/>
    <w:rsid w:val="0BE21DBE"/>
    <w:rsid w:val="0CA041F5"/>
    <w:rsid w:val="0CB21A11"/>
    <w:rsid w:val="0D43262F"/>
    <w:rsid w:val="0DD00B0A"/>
    <w:rsid w:val="0DDD6D83"/>
    <w:rsid w:val="0E572FD9"/>
    <w:rsid w:val="0FBD6E6C"/>
    <w:rsid w:val="0FD47A59"/>
    <w:rsid w:val="102A2573"/>
    <w:rsid w:val="106327F0"/>
    <w:rsid w:val="10D73F5D"/>
    <w:rsid w:val="11A71C74"/>
    <w:rsid w:val="124E011A"/>
    <w:rsid w:val="125B799B"/>
    <w:rsid w:val="13451926"/>
    <w:rsid w:val="13517FF7"/>
    <w:rsid w:val="13624205"/>
    <w:rsid w:val="13D109CB"/>
    <w:rsid w:val="13D954E4"/>
    <w:rsid w:val="141C0577"/>
    <w:rsid w:val="15095086"/>
    <w:rsid w:val="159266A5"/>
    <w:rsid w:val="15A703A2"/>
    <w:rsid w:val="15EA64E1"/>
    <w:rsid w:val="172B408E"/>
    <w:rsid w:val="17413E43"/>
    <w:rsid w:val="17435EA8"/>
    <w:rsid w:val="177F008E"/>
    <w:rsid w:val="178E1F33"/>
    <w:rsid w:val="178F2B3E"/>
    <w:rsid w:val="18097A97"/>
    <w:rsid w:val="18671407"/>
    <w:rsid w:val="187A3B4C"/>
    <w:rsid w:val="187D7DD9"/>
    <w:rsid w:val="18BA0ECC"/>
    <w:rsid w:val="18EB67F8"/>
    <w:rsid w:val="19066DC7"/>
    <w:rsid w:val="198806C8"/>
    <w:rsid w:val="19A349A7"/>
    <w:rsid w:val="19D92AF4"/>
    <w:rsid w:val="1A4943CD"/>
    <w:rsid w:val="1AA616FE"/>
    <w:rsid w:val="1AAA2DFB"/>
    <w:rsid w:val="1AC47300"/>
    <w:rsid w:val="1AC97153"/>
    <w:rsid w:val="1B0F6F0E"/>
    <w:rsid w:val="1B1B722A"/>
    <w:rsid w:val="1B7C6AA8"/>
    <w:rsid w:val="1BDA64CB"/>
    <w:rsid w:val="1C6E0CB4"/>
    <w:rsid w:val="1CFF359F"/>
    <w:rsid w:val="1D022362"/>
    <w:rsid w:val="1D67469D"/>
    <w:rsid w:val="1DA61C30"/>
    <w:rsid w:val="1E675D84"/>
    <w:rsid w:val="1E8474D2"/>
    <w:rsid w:val="1E9B0CC0"/>
    <w:rsid w:val="1EC21DA9"/>
    <w:rsid w:val="1EC818D4"/>
    <w:rsid w:val="1EDC40A7"/>
    <w:rsid w:val="1FB1154E"/>
    <w:rsid w:val="20853119"/>
    <w:rsid w:val="20890647"/>
    <w:rsid w:val="20C4005A"/>
    <w:rsid w:val="20CA13E8"/>
    <w:rsid w:val="20F6042F"/>
    <w:rsid w:val="21745945"/>
    <w:rsid w:val="21EB1616"/>
    <w:rsid w:val="220A0ABA"/>
    <w:rsid w:val="221753B2"/>
    <w:rsid w:val="222334A6"/>
    <w:rsid w:val="22491560"/>
    <w:rsid w:val="22B909F8"/>
    <w:rsid w:val="22F15F9A"/>
    <w:rsid w:val="235D11F7"/>
    <w:rsid w:val="23D305B4"/>
    <w:rsid w:val="23ED28C5"/>
    <w:rsid w:val="24550402"/>
    <w:rsid w:val="24B077EC"/>
    <w:rsid w:val="26240608"/>
    <w:rsid w:val="26404FD5"/>
    <w:rsid w:val="26B902DF"/>
    <w:rsid w:val="27F74BDE"/>
    <w:rsid w:val="28362887"/>
    <w:rsid w:val="297C3C21"/>
    <w:rsid w:val="29B81F73"/>
    <w:rsid w:val="2A14331C"/>
    <w:rsid w:val="2A48203E"/>
    <w:rsid w:val="2AD24E32"/>
    <w:rsid w:val="2BE23A8A"/>
    <w:rsid w:val="2BF62A58"/>
    <w:rsid w:val="2BF95844"/>
    <w:rsid w:val="2C111203"/>
    <w:rsid w:val="2D4A7B39"/>
    <w:rsid w:val="2D5B6BE1"/>
    <w:rsid w:val="2DE2248A"/>
    <w:rsid w:val="2E026666"/>
    <w:rsid w:val="2E4B4423"/>
    <w:rsid w:val="2E4D1BB7"/>
    <w:rsid w:val="2E6A00BB"/>
    <w:rsid w:val="2EC13E2B"/>
    <w:rsid w:val="2EFA558F"/>
    <w:rsid w:val="300541EB"/>
    <w:rsid w:val="305D4027"/>
    <w:rsid w:val="30B57B0F"/>
    <w:rsid w:val="30C168FC"/>
    <w:rsid w:val="31741A80"/>
    <w:rsid w:val="318B0267"/>
    <w:rsid w:val="32342B66"/>
    <w:rsid w:val="327C6745"/>
    <w:rsid w:val="327E3700"/>
    <w:rsid w:val="33785733"/>
    <w:rsid w:val="337E4009"/>
    <w:rsid w:val="34140679"/>
    <w:rsid w:val="341747BE"/>
    <w:rsid w:val="342C61EA"/>
    <w:rsid w:val="34F62354"/>
    <w:rsid w:val="35115953"/>
    <w:rsid w:val="35550AAD"/>
    <w:rsid w:val="357E0CC8"/>
    <w:rsid w:val="35AD6EB7"/>
    <w:rsid w:val="36037682"/>
    <w:rsid w:val="36054F45"/>
    <w:rsid w:val="36897924"/>
    <w:rsid w:val="36F07AD7"/>
    <w:rsid w:val="37541EDF"/>
    <w:rsid w:val="376C4B50"/>
    <w:rsid w:val="37E6427D"/>
    <w:rsid w:val="387B14EE"/>
    <w:rsid w:val="390C2146"/>
    <w:rsid w:val="397D3044"/>
    <w:rsid w:val="39A84565"/>
    <w:rsid w:val="39C742BF"/>
    <w:rsid w:val="3A212A13"/>
    <w:rsid w:val="3AFC62E3"/>
    <w:rsid w:val="3BB345F3"/>
    <w:rsid w:val="3C6329C5"/>
    <w:rsid w:val="3C820B70"/>
    <w:rsid w:val="3D48082B"/>
    <w:rsid w:val="3D98377F"/>
    <w:rsid w:val="3E20531F"/>
    <w:rsid w:val="3E2C1A25"/>
    <w:rsid w:val="3E61599B"/>
    <w:rsid w:val="3E8409D1"/>
    <w:rsid w:val="3EA0190A"/>
    <w:rsid w:val="3EB91841"/>
    <w:rsid w:val="3ED90DF6"/>
    <w:rsid w:val="3EF8613C"/>
    <w:rsid w:val="3F215F4F"/>
    <w:rsid w:val="3F3E6DD2"/>
    <w:rsid w:val="3F644C89"/>
    <w:rsid w:val="3F8758A7"/>
    <w:rsid w:val="3F8F53C6"/>
    <w:rsid w:val="3FD55595"/>
    <w:rsid w:val="40455692"/>
    <w:rsid w:val="407D5652"/>
    <w:rsid w:val="40C8246B"/>
    <w:rsid w:val="411D1161"/>
    <w:rsid w:val="41275EB6"/>
    <w:rsid w:val="41743A35"/>
    <w:rsid w:val="41F45F54"/>
    <w:rsid w:val="428E27D7"/>
    <w:rsid w:val="43407B62"/>
    <w:rsid w:val="43A35D9D"/>
    <w:rsid w:val="43CA6364"/>
    <w:rsid w:val="44FA7C3F"/>
    <w:rsid w:val="45375E5B"/>
    <w:rsid w:val="464C0026"/>
    <w:rsid w:val="46C22C9F"/>
    <w:rsid w:val="46E1271B"/>
    <w:rsid w:val="47515742"/>
    <w:rsid w:val="47AA4946"/>
    <w:rsid w:val="47B637FD"/>
    <w:rsid w:val="481B2EE5"/>
    <w:rsid w:val="48221986"/>
    <w:rsid w:val="482D4209"/>
    <w:rsid w:val="48CB5B7A"/>
    <w:rsid w:val="49AE7B27"/>
    <w:rsid w:val="4A014F29"/>
    <w:rsid w:val="4B564475"/>
    <w:rsid w:val="4B5C4865"/>
    <w:rsid w:val="4B7A478B"/>
    <w:rsid w:val="4B822C10"/>
    <w:rsid w:val="4B837D92"/>
    <w:rsid w:val="4B904E59"/>
    <w:rsid w:val="4BA679C0"/>
    <w:rsid w:val="4C492019"/>
    <w:rsid w:val="4C61570B"/>
    <w:rsid w:val="4D8B58D8"/>
    <w:rsid w:val="4DAE5A6A"/>
    <w:rsid w:val="4DE476BB"/>
    <w:rsid w:val="4DF55447"/>
    <w:rsid w:val="4EB80272"/>
    <w:rsid w:val="4EFE20DA"/>
    <w:rsid w:val="4F01438D"/>
    <w:rsid w:val="50EE61AC"/>
    <w:rsid w:val="515801C7"/>
    <w:rsid w:val="526861E8"/>
    <w:rsid w:val="527A4A60"/>
    <w:rsid w:val="53537097"/>
    <w:rsid w:val="54930906"/>
    <w:rsid w:val="54B94441"/>
    <w:rsid w:val="54E360B2"/>
    <w:rsid w:val="54F33E4C"/>
    <w:rsid w:val="54FE2E33"/>
    <w:rsid w:val="55324DD3"/>
    <w:rsid w:val="55376345"/>
    <w:rsid w:val="554B4625"/>
    <w:rsid w:val="55967982"/>
    <w:rsid w:val="55B1497E"/>
    <w:rsid w:val="567C1E86"/>
    <w:rsid w:val="56BC7650"/>
    <w:rsid w:val="578A4E52"/>
    <w:rsid w:val="57E502DB"/>
    <w:rsid w:val="583059FA"/>
    <w:rsid w:val="58377C37"/>
    <w:rsid w:val="586B4C84"/>
    <w:rsid w:val="5911172D"/>
    <w:rsid w:val="59376914"/>
    <w:rsid w:val="59FC671D"/>
    <w:rsid w:val="5A7735AC"/>
    <w:rsid w:val="5B095917"/>
    <w:rsid w:val="5B174637"/>
    <w:rsid w:val="5B6C0334"/>
    <w:rsid w:val="5B851EB1"/>
    <w:rsid w:val="5BE74621"/>
    <w:rsid w:val="5CB943C7"/>
    <w:rsid w:val="5D2A508E"/>
    <w:rsid w:val="5D8427A6"/>
    <w:rsid w:val="5D900CE9"/>
    <w:rsid w:val="5E6463FD"/>
    <w:rsid w:val="5E765C43"/>
    <w:rsid w:val="5F0946BE"/>
    <w:rsid w:val="5FCD3B2E"/>
    <w:rsid w:val="6018144C"/>
    <w:rsid w:val="60207A75"/>
    <w:rsid w:val="60697EFA"/>
    <w:rsid w:val="60886947"/>
    <w:rsid w:val="60917251"/>
    <w:rsid w:val="6120440C"/>
    <w:rsid w:val="61FC0C03"/>
    <w:rsid w:val="629152E7"/>
    <w:rsid w:val="629C0333"/>
    <w:rsid w:val="62B92A90"/>
    <w:rsid w:val="63080E68"/>
    <w:rsid w:val="632D51E6"/>
    <w:rsid w:val="648E0D20"/>
    <w:rsid w:val="649F48BF"/>
    <w:rsid w:val="660679D4"/>
    <w:rsid w:val="662E5ABF"/>
    <w:rsid w:val="673426E5"/>
    <w:rsid w:val="673B3590"/>
    <w:rsid w:val="67922391"/>
    <w:rsid w:val="67C91FB9"/>
    <w:rsid w:val="67CF7975"/>
    <w:rsid w:val="67E7176C"/>
    <w:rsid w:val="682B03D9"/>
    <w:rsid w:val="68774F7F"/>
    <w:rsid w:val="68F5097A"/>
    <w:rsid w:val="69127A69"/>
    <w:rsid w:val="694D7758"/>
    <w:rsid w:val="694E21C9"/>
    <w:rsid w:val="69557DDE"/>
    <w:rsid w:val="69B018C1"/>
    <w:rsid w:val="6A143694"/>
    <w:rsid w:val="6A1A0F4D"/>
    <w:rsid w:val="6AD64580"/>
    <w:rsid w:val="6B044A4F"/>
    <w:rsid w:val="6B5438B1"/>
    <w:rsid w:val="6C5703CB"/>
    <w:rsid w:val="6C8A332A"/>
    <w:rsid w:val="6CC13DA5"/>
    <w:rsid w:val="6E470F4F"/>
    <w:rsid w:val="6E8C4A0E"/>
    <w:rsid w:val="6EBC36EB"/>
    <w:rsid w:val="6ECD5A9B"/>
    <w:rsid w:val="6F553F3E"/>
    <w:rsid w:val="6FAC561B"/>
    <w:rsid w:val="6FBF2029"/>
    <w:rsid w:val="70131A31"/>
    <w:rsid w:val="70485B31"/>
    <w:rsid w:val="708E7FF1"/>
    <w:rsid w:val="70B6462C"/>
    <w:rsid w:val="719A5686"/>
    <w:rsid w:val="71A940C6"/>
    <w:rsid w:val="71DF0A04"/>
    <w:rsid w:val="72317788"/>
    <w:rsid w:val="728525BB"/>
    <w:rsid w:val="732855A5"/>
    <w:rsid w:val="73432A86"/>
    <w:rsid w:val="738512A8"/>
    <w:rsid w:val="73D11BE6"/>
    <w:rsid w:val="74060BAD"/>
    <w:rsid w:val="74516612"/>
    <w:rsid w:val="74B73901"/>
    <w:rsid w:val="75017CB4"/>
    <w:rsid w:val="7516167C"/>
    <w:rsid w:val="757A422E"/>
    <w:rsid w:val="75D82ADC"/>
    <w:rsid w:val="75E9643F"/>
    <w:rsid w:val="760836BA"/>
    <w:rsid w:val="763E1E70"/>
    <w:rsid w:val="76634241"/>
    <w:rsid w:val="768A0573"/>
    <w:rsid w:val="768E2BE8"/>
    <w:rsid w:val="76AA651F"/>
    <w:rsid w:val="773724A9"/>
    <w:rsid w:val="77400C32"/>
    <w:rsid w:val="77A61A3E"/>
    <w:rsid w:val="77AE4857"/>
    <w:rsid w:val="77E91ECB"/>
    <w:rsid w:val="7831514A"/>
    <w:rsid w:val="7939046E"/>
    <w:rsid w:val="79A821D6"/>
    <w:rsid w:val="79B778D1"/>
    <w:rsid w:val="7A324398"/>
    <w:rsid w:val="7ABD5526"/>
    <w:rsid w:val="7AD156B6"/>
    <w:rsid w:val="7ADD5EEC"/>
    <w:rsid w:val="7B2066A8"/>
    <w:rsid w:val="7B2B6F0B"/>
    <w:rsid w:val="7BA5733A"/>
    <w:rsid w:val="7BA71E8A"/>
    <w:rsid w:val="7BC97448"/>
    <w:rsid w:val="7D33726F"/>
    <w:rsid w:val="7D926A30"/>
    <w:rsid w:val="7D9817C8"/>
    <w:rsid w:val="7DAF1184"/>
    <w:rsid w:val="7DE02D79"/>
    <w:rsid w:val="7E402BA3"/>
    <w:rsid w:val="7F271055"/>
    <w:rsid w:val="7F777191"/>
    <w:rsid w:val="7FD823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nhideWhenUsed="0" w:uiPriority="0"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1"/>
    <w:pPr>
      <w:autoSpaceDE w:val="0"/>
      <w:autoSpaceDN w:val="0"/>
      <w:ind w:left="106"/>
      <w:jc w:val="left"/>
    </w:pPr>
    <w:rPr>
      <w:rFonts w:ascii="仿宋_GB2312" w:hAnsi="仿宋_GB2312" w:eastAsia="仿宋_GB2312" w:cs="仿宋_GB2312"/>
      <w:kern w:val="0"/>
      <w:sz w:val="32"/>
      <w:szCs w:val="32"/>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qFormat/>
    <w:uiPriority w:val="0"/>
    <w:pPr>
      <w:ind w:left="400" w:leftChars="200" w:hanging="200" w:hangingChars="200"/>
    </w:pPr>
    <w:rPr>
      <w:rFonts w:ascii="Calibri" w:hAnsi="Calibri"/>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Hyperlink"/>
    <w:basedOn w:val="9"/>
    <w:qFormat/>
    <w:uiPriority w:val="0"/>
    <w:rPr>
      <w:color w:val="000000"/>
      <w:sz w:val="18"/>
      <w:szCs w:val="18"/>
      <w:u w:val="none"/>
    </w:rPr>
  </w:style>
  <w:style w:type="character" w:customStyle="1" w:styleId="12">
    <w:name w:val="apple-converted-space"/>
    <w:basedOn w:val="9"/>
    <w:autoRedefine/>
    <w:qFormat/>
    <w:uiPriority w:val="0"/>
  </w:style>
  <w:style w:type="character" w:customStyle="1" w:styleId="13">
    <w:name w:val="页眉 Char"/>
    <w:basedOn w:val="9"/>
    <w:link w:val="4"/>
    <w:autoRedefine/>
    <w:qFormat/>
    <w:uiPriority w:val="0"/>
    <w:rPr>
      <w:kern w:val="2"/>
      <w:sz w:val="18"/>
      <w:szCs w:val="18"/>
    </w:rPr>
  </w:style>
  <w:style w:type="character" w:customStyle="1" w:styleId="14">
    <w:name w:val="页脚 Char"/>
    <w:basedOn w:val="9"/>
    <w:link w:val="3"/>
    <w:autoRedefine/>
    <w:qFormat/>
    <w:uiPriority w:val="0"/>
    <w:rPr>
      <w:kern w:val="2"/>
      <w:sz w:val="18"/>
      <w:szCs w:val="18"/>
    </w:rPr>
  </w:style>
  <w:style w:type="character" w:customStyle="1" w:styleId="15">
    <w:name w:val="正文文本 Char"/>
    <w:basedOn w:val="9"/>
    <w:link w:val="2"/>
    <w:qFormat/>
    <w:uiPriority w:val="1"/>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785</Words>
  <Characters>801</Characters>
  <Lines>15</Lines>
  <Paragraphs>4</Paragraphs>
  <TotalTime>59</TotalTime>
  <ScaleCrop>false</ScaleCrop>
  <LinksUpToDate>false</LinksUpToDate>
  <CharactersWithSpaces>801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2025-11-17T10:29:00Z</dcterms:created>
  <dc:creator>微软中国</dc:creator>
  <cp:lastModifiedBy>驿竹</cp:lastModifiedBy>
  <cp:lastPrinted>2026-10-16T09:15:00Z</cp:lastPrinted>
  <dcterms:modified xsi:type="dcterms:W3CDTF">2026-10-23T02:59:29Z</dcterms:modified>
  <dc:title>中共湖南省委接待工作办公室所属事业单位招聘重宾接待服务员公告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408FD5011D1E47A19EBB1BEB216C6E73_13</vt:lpwstr>
  </property>
  <property fmtid="{D5CDD505-2E9C-101B-9397-08002B2CF9AE}" pid="4" name="KSOTemplateDocerSaveRecord">
    <vt:lpwstr>eyJoZGlkIjoiNTAyOWQwOWRlMmZlYzRmZTYwMTYxOTI1Y2VkYTgyZWYiLCJ1c2VySWQiOiIxMDQ2OTk0MjQ5In0=</vt:lpwstr>
  </property>
</Properties>
</file>