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FDDBA">
      <w:pPr>
        <w:spacing w:line="400" w:lineRule="exact"/>
        <w:jc w:val="both"/>
        <w:rPr>
          <w:rFonts w:hint="eastAsia" w:eastAsia="方正小标宋简体" w:cs="Times New Roman"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sz w:val="36"/>
          <w:szCs w:val="36"/>
          <w:lang w:val="en-US" w:eastAsia="zh-CN"/>
        </w:rPr>
        <w:t>附件1</w:t>
      </w:r>
    </w:p>
    <w:p w14:paraId="19A8B352">
      <w:pPr>
        <w:spacing w:line="400" w:lineRule="exact"/>
        <w:jc w:val="center"/>
        <w:rPr>
          <w:rFonts w:hint="eastAsia" w:eastAsia="方正小标宋简体" w:cs="Times New Roman"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sz w:val="36"/>
          <w:szCs w:val="36"/>
          <w:lang w:val="en-US" w:eastAsia="zh-CN"/>
        </w:rPr>
        <w:t>邵武市金塘投资发展有限公司</w:t>
      </w:r>
    </w:p>
    <w:p w14:paraId="36EA4F71">
      <w:pPr>
        <w:spacing w:line="400" w:lineRule="exact"/>
        <w:jc w:val="center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sz w:val="36"/>
          <w:szCs w:val="36"/>
          <w:lang w:val="en-US" w:eastAsia="zh-CN"/>
        </w:rPr>
        <w:t>2026年度公开招聘企业员工岗位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计划</w:t>
      </w:r>
    </w:p>
    <w:p w14:paraId="086CED6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after="0" w:line="520" w:lineRule="exact"/>
        <w:ind w:left="0" w:leftChars="0" w:firstLine="0" w:firstLineChars="0"/>
        <w:jc w:val="left"/>
        <w:rPr>
          <w:rStyle w:val="7"/>
          <w:rFonts w:hint="eastAsia" w:eastAsia="黑体" w:cs="Times New Roman"/>
          <w:color w:val="auto"/>
          <w:sz w:val="32"/>
          <w:szCs w:val="32"/>
          <w:u w:val="none"/>
          <w:lang w:val="en-US" w:eastAsia="zh-CN"/>
        </w:rPr>
      </w:pPr>
    </w:p>
    <w:p w14:paraId="1235CAA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after="0" w:line="520" w:lineRule="exact"/>
        <w:ind w:left="0" w:leftChars="0" w:firstLine="640" w:firstLineChars="200"/>
        <w:jc w:val="left"/>
        <w:rPr>
          <w:rStyle w:val="7"/>
          <w:rFonts w:hint="default" w:eastAsia="黑体" w:cs="Times New Roman"/>
          <w:color w:val="auto"/>
          <w:sz w:val="32"/>
          <w:szCs w:val="32"/>
          <w:u w:val="none"/>
          <w:lang w:val="en-US" w:eastAsia="zh-CN"/>
        </w:rPr>
      </w:pPr>
      <w:r>
        <w:rPr>
          <w:rStyle w:val="7"/>
          <w:rFonts w:hint="eastAsia" w:eastAsia="黑体" w:cs="Times New Roman"/>
          <w:color w:val="auto"/>
          <w:sz w:val="32"/>
          <w:szCs w:val="32"/>
          <w:u w:val="none"/>
          <w:lang w:val="en-US" w:eastAsia="zh-CN"/>
        </w:rPr>
        <w:t>一、招聘岗位数量</w:t>
      </w:r>
    </w:p>
    <w:tbl>
      <w:tblPr>
        <w:tblStyle w:val="5"/>
        <w:tblW w:w="9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093"/>
        <w:gridCol w:w="4050"/>
        <w:gridCol w:w="1457"/>
        <w:gridCol w:w="1292"/>
      </w:tblGrid>
      <w:tr w14:paraId="1414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050" w:type="dxa"/>
            <w:noWrap w:val="0"/>
            <w:vAlign w:val="center"/>
          </w:tcPr>
          <w:p w14:paraId="2DE02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093" w:type="dxa"/>
            <w:noWrap w:val="0"/>
            <w:vAlign w:val="center"/>
          </w:tcPr>
          <w:p w14:paraId="6F70D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部门名称</w:t>
            </w:r>
          </w:p>
        </w:tc>
        <w:tc>
          <w:tcPr>
            <w:tcW w:w="4050" w:type="dxa"/>
            <w:noWrap w:val="0"/>
            <w:vAlign w:val="center"/>
          </w:tcPr>
          <w:p w14:paraId="4B1CE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1457" w:type="dxa"/>
            <w:noWrap w:val="0"/>
            <w:vAlign w:val="center"/>
          </w:tcPr>
          <w:p w14:paraId="24330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招聘人数</w:t>
            </w:r>
          </w:p>
        </w:tc>
        <w:tc>
          <w:tcPr>
            <w:tcW w:w="1292" w:type="dxa"/>
            <w:noWrap w:val="0"/>
            <w:vAlign w:val="center"/>
          </w:tcPr>
          <w:p w14:paraId="49A91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420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9942" w:type="dxa"/>
            <w:gridSpan w:val="5"/>
            <w:noWrap w:val="0"/>
            <w:vAlign w:val="center"/>
          </w:tcPr>
          <w:p w14:paraId="45F94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101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8"/>
                <w:szCs w:val="28"/>
              </w:rPr>
              <w:t>邵武市金塘投资发展有限公司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Times New Roman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8"/>
                <w:szCs w:val="28"/>
                <w:lang w:val="en-US" w:eastAsia="zh-CN"/>
              </w:rPr>
              <w:t>人）</w:t>
            </w:r>
          </w:p>
        </w:tc>
      </w:tr>
      <w:tr w14:paraId="15BC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050" w:type="dxa"/>
            <w:noWrap w:val="0"/>
            <w:vAlign w:val="center"/>
          </w:tcPr>
          <w:p w14:paraId="59D74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10101</w:t>
            </w:r>
          </w:p>
        </w:tc>
        <w:tc>
          <w:tcPr>
            <w:tcW w:w="2093" w:type="dxa"/>
            <w:noWrap w:val="0"/>
            <w:vAlign w:val="center"/>
          </w:tcPr>
          <w:p w14:paraId="66793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投融资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部</w:t>
            </w:r>
          </w:p>
        </w:tc>
        <w:tc>
          <w:tcPr>
            <w:tcW w:w="4050" w:type="dxa"/>
            <w:noWrap w:val="0"/>
            <w:vAlign w:val="center"/>
          </w:tcPr>
          <w:p w14:paraId="70DA2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投融资专员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(1)</w:t>
            </w:r>
          </w:p>
        </w:tc>
        <w:tc>
          <w:tcPr>
            <w:tcW w:w="1457" w:type="dxa"/>
            <w:noWrap w:val="0"/>
            <w:vAlign w:val="center"/>
          </w:tcPr>
          <w:p w14:paraId="16888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  <w:t>1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 w14:paraId="066FC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</w:pPr>
          </w:p>
        </w:tc>
      </w:tr>
      <w:tr w14:paraId="38A3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50" w:type="dxa"/>
            <w:noWrap w:val="0"/>
            <w:vAlign w:val="center"/>
          </w:tcPr>
          <w:p w14:paraId="42665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10102</w:t>
            </w:r>
          </w:p>
        </w:tc>
        <w:tc>
          <w:tcPr>
            <w:tcW w:w="2093" w:type="dxa"/>
            <w:noWrap w:val="0"/>
            <w:vAlign w:val="center"/>
          </w:tcPr>
          <w:p w14:paraId="506B0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投融资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部</w:t>
            </w:r>
          </w:p>
        </w:tc>
        <w:tc>
          <w:tcPr>
            <w:tcW w:w="4050" w:type="dxa"/>
            <w:noWrap w:val="0"/>
            <w:vAlign w:val="center"/>
          </w:tcPr>
          <w:p w14:paraId="0725A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投融资专员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(2)</w:t>
            </w:r>
          </w:p>
        </w:tc>
        <w:tc>
          <w:tcPr>
            <w:tcW w:w="1457" w:type="dxa"/>
            <w:noWrap w:val="0"/>
            <w:vAlign w:val="center"/>
          </w:tcPr>
          <w:p w14:paraId="3F896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  <w:t>1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 w14:paraId="2430F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</w:pPr>
          </w:p>
        </w:tc>
      </w:tr>
      <w:tr w14:paraId="34F70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50" w:type="dxa"/>
            <w:noWrap w:val="0"/>
            <w:vAlign w:val="center"/>
          </w:tcPr>
          <w:p w14:paraId="70E71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10103</w:t>
            </w:r>
          </w:p>
        </w:tc>
        <w:tc>
          <w:tcPr>
            <w:tcW w:w="2093" w:type="dxa"/>
            <w:noWrap w:val="0"/>
            <w:vAlign w:val="center"/>
          </w:tcPr>
          <w:p w14:paraId="75213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财务部</w:t>
            </w:r>
          </w:p>
        </w:tc>
        <w:tc>
          <w:tcPr>
            <w:tcW w:w="4050" w:type="dxa"/>
            <w:noWrap w:val="0"/>
            <w:vAlign w:val="center"/>
          </w:tcPr>
          <w:p w14:paraId="578AF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会计</w:t>
            </w:r>
          </w:p>
        </w:tc>
        <w:tc>
          <w:tcPr>
            <w:tcW w:w="1457" w:type="dxa"/>
            <w:noWrap w:val="0"/>
            <w:vAlign w:val="center"/>
          </w:tcPr>
          <w:p w14:paraId="21BC2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32"/>
                <w:szCs w:val="32"/>
                <w:lang w:val="en-US" w:eastAsia="zh-CN"/>
              </w:rPr>
              <w:t>1人</w:t>
            </w:r>
          </w:p>
        </w:tc>
        <w:tc>
          <w:tcPr>
            <w:tcW w:w="1292" w:type="dxa"/>
            <w:noWrap w:val="0"/>
            <w:vAlign w:val="center"/>
          </w:tcPr>
          <w:p w14:paraId="23015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</w:pPr>
          </w:p>
        </w:tc>
      </w:tr>
      <w:tr w14:paraId="0F95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942" w:type="dxa"/>
            <w:gridSpan w:val="5"/>
            <w:noWrap w:val="0"/>
            <w:vAlign w:val="center"/>
          </w:tcPr>
          <w:p w14:paraId="0D0C4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102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8"/>
                <w:szCs w:val="28"/>
              </w:rPr>
              <w:t>福建省邵武市竹立方品牌运营有限公司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Times New Roman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8"/>
                <w:szCs w:val="28"/>
                <w:lang w:val="en-US" w:eastAsia="zh-CN"/>
              </w:rPr>
              <w:t>人）</w:t>
            </w:r>
          </w:p>
        </w:tc>
      </w:tr>
      <w:tr w14:paraId="15977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50" w:type="dxa"/>
            <w:noWrap w:val="0"/>
            <w:vAlign w:val="center"/>
          </w:tcPr>
          <w:p w14:paraId="6F792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微软雅黑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10201</w:t>
            </w:r>
          </w:p>
        </w:tc>
        <w:tc>
          <w:tcPr>
            <w:tcW w:w="2093" w:type="dxa"/>
            <w:noWrap w:val="0"/>
            <w:vAlign w:val="center"/>
          </w:tcPr>
          <w:p w14:paraId="2A263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综合企划部</w:t>
            </w:r>
          </w:p>
          <w:p w14:paraId="468D0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(含办公</w:t>
            </w:r>
          </w:p>
          <w:p w14:paraId="5A67B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室)</w:t>
            </w:r>
          </w:p>
        </w:tc>
        <w:tc>
          <w:tcPr>
            <w:tcW w:w="4050" w:type="dxa"/>
            <w:noWrap w:val="0"/>
            <w:vAlign w:val="center"/>
          </w:tcPr>
          <w:p w14:paraId="6767D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品牌策划专员（1）</w:t>
            </w:r>
          </w:p>
        </w:tc>
        <w:tc>
          <w:tcPr>
            <w:tcW w:w="1457" w:type="dxa"/>
            <w:noWrap w:val="0"/>
            <w:vAlign w:val="center"/>
          </w:tcPr>
          <w:p w14:paraId="562E5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1人</w:t>
            </w:r>
          </w:p>
        </w:tc>
        <w:tc>
          <w:tcPr>
            <w:tcW w:w="1292" w:type="dxa"/>
            <w:noWrap w:val="0"/>
            <w:vAlign w:val="center"/>
          </w:tcPr>
          <w:p w14:paraId="2674B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807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50" w:type="dxa"/>
            <w:noWrap w:val="0"/>
            <w:vAlign w:val="center"/>
          </w:tcPr>
          <w:p w14:paraId="76920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微软雅黑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微软雅黑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10202</w:t>
            </w:r>
          </w:p>
        </w:tc>
        <w:tc>
          <w:tcPr>
            <w:tcW w:w="2093" w:type="dxa"/>
            <w:noWrap w:val="0"/>
            <w:vAlign w:val="center"/>
          </w:tcPr>
          <w:p w14:paraId="77516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综合企划部</w:t>
            </w:r>
          </w:p>
          <w:p w14:paraId="43108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(含办公</w:t>
            </w:r>
          </w:p>
          <w:p w14:paraId="18ADB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室)</w:t>
            </w:r>
          </w:p>
        </w:tc>
        <w:tc>
          <w:tcPr>
            <w:tcW w:w="4050" w:type="dxa"/>
            <w:noWrap w:val="0"/>
            <w:vAlign w:val="center"/>
          </w:tcPr>
          <w:p w14:paraId="4E68E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品牌策划专员（2）</w:t>
            </w:r>
          </w:p>
        </w:tc>
        <w:tc>
          <w:tcPr>
            <w:tcW w:w="1457" w:type="dxa"/>
            <w:noWrap w:val="0"/>
            <w:vAlign w:val="center"/>
          </w:tcPr>
          <w:p w14:paraId="6335B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1人</w:t>
            </w:r>
          </w:p>
        </w:tc>
        <w:tc>
          <w:tcPr>
            <w:tcW w:w="1292" w:type="dxa"/>
            <w:noWrap w:val="0"/>
            <w:vAlign w:val="center"/>
          </w:tcPr>
          <w:p w14:paraId="3EFA6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38E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050" w:type="dxa"/>
            <w:noWrap w:val="0"/>
            <w:vAlign w:val="center"/>
          </w:tcPr>
          <w:p w14:paraId="47FAA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微软雅黑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10203</w:t>
            </w:r>
          </w:p>
        </w:tc>
        <w:tc>
          <w:tcPr>
            <w:tcW w:w="2093" w:type="dxa"/>
            <w:noWrap w:val="0"/>
            <w:vAlign w:val="center"/>
          </w:tcPr>
          <w:p w14:paraId="6139E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合作管理部</w:t>
            </w:r>
          </w:p>
        </w:tc>
        <w:tc>
          <w:tcPr>
            <w:tcW w:w="4050" w:type="dxa"/>
            <w:noWrap w:val="0"/>
            <w:vAlign w:val="center"/>
          </w:tcPr>
          <w:p w14:paraId="15DE0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合作管理专员</w:t>
            </w:r>
          </w:p>
        </w:tc>
        <w:tc>
          <w:tcPr>
            <w:tcW w:w="1457" w:type="dxa"/>
            <w:noWrap w:val="0"/>
            <w:vAlign w:val="center"/>
          </w:tcPr>
          <w:p w14:paraId="73E78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 w14:paraId="1DF0A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2711C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50" w:type="dxa"/>
            <w:noWrap w:val="0"/>
            <w:vAlign w:val="center"/>
          </w:tcPr>
          <w:p w14:paraId="34585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eastAsia="微软雅黑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10204</w:t>
            </w:r>
          </w:p>
        </w:tc>
        <w:tc>
          <w:tcPr>
            <w:tcW w:w="2093" w:type="dxa"/>
            <w:noWrap w:val="0"/>
            <w:vAlign w:val="center"/>
          </w:tcPr>
          <w:p w14:paraId="36A9C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资产财务部</w:t>
            </w:r>
          </w:p>
        </w:tc>
        <w:tc>
          <w:tcPr>
            <w:tcW w:w="4050" w:type="dxa"/>
            <w:noWrap w:val="0"/>
            <w:vAlign w:val="center"/>
          </w:tcPr>
          <w:p w14:paraId="2E754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资产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财务专员</w:t>
            </w:r>
          </w:p>
        </w:tc>
        <w:tc>
          <w:tcPr>
            <w:tcW w:w="1457" w:type="dxa"/>
            <w:noWrap w:val="0"/>
            <w:vAlign w:val="center"/>
          </w:tcPr>
          <w:p w14:paraId="56B95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 w14:paraId="23879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4CE170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after="0" w:line="520" w:lineRule="exact"/>
        <w:ind w:left="0" w:leftChars="0" w:firstLine="640" w:firstLineChars="200"/>
        <w:jc w:val="left"/>
        <w:rPr>
          <w:rStyle w:val="7"/>
          <w:rFonts w:hint="eastAsia" w:eastAsia="黑体" w:cs="Times New Roman"/>
          <w:color w:val="auto"/>
          <w:sz w:val="32"/>
          <w:szCs w:val="32"/>
          <w:u w:val="none"/>
          <w:lang w:val="en-US" w:eastAsia="zh-CN"/>
        </w:rPr>
      </w:pPr>
    </w:p>
    <w:p w14:paraId="2804B1D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after="0" w:line="520" w:lineRule="exact"/>
        <w:ind w:left="0" w:leftChars="0" w:firstLine="640" w:firstLineChars="200"/>
        <w:jc w:val="left"/>
        <w:rPr>
          <w:rFonts w:hint="default"/>
          <w:lang w:val="en-US" w:eastAsia="zh-CN"/>
        </w:rPr>
      </w:pPr>
      <w:r>
        <w:rPr>
          <w:rStyle w:val="7"/>
          <w:rFonts w:hint="default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  <w:br w:type="page"/>
      </w:r>
      <w:r>
        <w:rPr>
          <w:rStyle w:val="7"/>
          <w:rFonts w:hint="eastAsia" w:eastAsia="黑体" w:cs="Times New Roman"/>
          <w:color w:val="auto"/>
          <w:sz w:val="32"/>
          <w:szCs w:val="32"/>
          <w:u w:val="none"/>
          <w:lang w:val="en-US" w:eastAsia="zh-CN"/>
        </w:rPr>
        <w:t>二、</w:t>
      </w:r>
      <w:r>
        <w:rPr>
          <w:rStyle w:val="7"/>
          <w:rFonts w:hint="default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  <w:t>岗位职责及要求</w:t>
      </w:r>
    </w:p>
    <w:p w14:paraId="676B27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Style w:val="7"/>
          <w:rFonts w:hint="default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</w:rPr>
      </w:pPr>
      <w:r>
        <w:rPr>
          <w:rStyle w:val="7"/>
          <w:rFonts w:hint="default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</w:rPr>
        <w:t>（一）邵武市金塘投资发展有限公司</w:t>
      </w:r>
    </w:p>
    <w:p w14:paraId="78783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sz w:val="32"/>
          <w:szCs w:val="32"/>
          <w:lang w:eastAsia="zh-CN"/>
        </w:rPr>
        <w:t>【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岗位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>10101】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投融资专员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>(1)</w:t>
      </w:r>
    </w:p>
    <w:p w14:paraId="30752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641C4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 对接银行、券商等资金方，落地各类融资业务，优化融资结构与成本。</w:t>
      </w:r>
    </w:p>
    <w:p w14:paraId="2E6DB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 负责融资台账、资金兑付、融资数据统计报送。</w:t>
      </w:r>
    </w:p>
    <w:p w14:paraId="222D0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 负责已投项目投后跟踪、数据收集、日常巡检。</w:t>
      </w:r>
    </w:p>
    <w:p w14:paraId="1807B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 监控被投企业经营风险，撰写投后报告，跟进分红及退出事项。</w:t>
      </w:r>
    </w:p>
    <w:p w14:paraId="6B5E1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 负责档案管理，配合审计及各类专项检查。</w:t>
      </w:r>
    </w:p>
    <w:p w14:paraId="6BFF8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66155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1.年龄：38周岁（含）以下（在“1987年10月21日至2008年10月21日”期间出生）</w:t>
      </w:r>
    </w:p>
    <w:p w14:paraId="3601F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eastAsia="仿宋_GB2312" w:cs="Times New Roman"/>
          <w:kern w:val="2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eastAsia="仿宋_GB2312" w:cs="Times New Roman"/>
          <w:kern w:val="2"/>
          <w:sz w:val="32"/>
          <w:szCs w:val="32"/>
          <w:highlight w:val="none"/>
          <w:shd w:val="clear" w:color="auto" w:fill="FFFFFF"/>
          <w:lang w:val="en-US" w:eastAsia="zh-CN"/>
        </w:rPr>
        <w:t>2.性别：女性</w:t>
      </w:r>
    </w:p>
    <w:p w14:paraId="4A7C7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3.学历：本科及以上学历</w:t>
      </w:r>
    </w:p>
    <w:p w14:paraId="4838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4.专业：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金融学、会计学、财务管理、投资学、金融工程等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相关专业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59364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5.其他条件：具有3年以上金融机构或大型企业投融资相关经验，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熟悉主流融资产品，细心严谨、执行力强。</w:t>
      </w:r>
    </w:p>
    <w:p w14:paraId="715A2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【岗位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 xml:space="preserve">10102 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】投融资专员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eastAsia="zh-CN"/>
        </w:rPr>
        <w:t>）</w:t>
      </w:r>
    </w:p>
    <w:p w14:paraId="4E916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25BF1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 对接银行、券商等资金方，落地各类融资业务，优化融资结构与成本。</w:t>
      </w:r>
    </w:p>
    <w:p w14:paraId="3E766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 负责融资台账、资金兑付、融资数据统计报送。</w:t>
      </w:r>
    </w:p>
    <w:p w14:paraId="49915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 负责已投项目投后跟踪、数据收集、日常巡检。</w:t>
      </w:r>
    </w:p>
    <w:p w14:paraId="178EA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 监控被投企业经营风险，撰写投后报告，跟进分红及退出事项。</w:t>
      </w:r>
    </w:p>
    <w:p w14:paraId="4AA2E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 负责档案管理，配合审计及各类专项检查。</w:t>
      </w:r>
    </w:p>
    <w:p w14:paraId="6C376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4F535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1.年龄：38周岁（含）以下（在“1987年10月21日至2008年10月21日”期间出生）</w:t>
      </w:r>
    </w:p>
    <w:p w14:paraId="69A66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eastAsia="仿宋_GB2312" w:cs="Times New Roman"/>
          <w:kern w:val="2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eastAsia="仿宋_GB2312" w:cs="Times New Roman"/>
          <w:kern w:val="2"/>
          <w:sz w:val="32"/>
          <w:szCs w:val="32"/>
          <w:highlight w:val="none"/>
          <w:shd w:val="clear" w:color="auto" w:fill="FFFFFF"/>
          <w:lang w:val="en-US" w:eastAsia="zh-CN"/>
        </w:rPr>
        <w:t>2.性别：男性</w:t>
      </w:r>
    </w:p>
    <w:p w14:paraId="144A7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3.学历：本科及以上学历</w:t>
      </w:r>
    </w:p>
    <w:p w14:paraId="70975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4.专业：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金融学、会计学、财务管理、投资学、金融工程等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相关专业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1D9F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5.其他条件：具有3年以上金融机构或大型企业投融资相关经验，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熟悉主流融资产品，细心严谨、执行力强。</w:t>
      </w:r>
    </w:p>
    <w:p w14:paraId="0B4B8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【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>岗位10103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】财务部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lang w:val="en-US" w:eastAsia="zh-CN"/>
        </w:rPr>
        <w:t>会计</w:t>
      </w:r>
    </w:p>
    <w:p w14:paraId="47181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7E10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 制定部门工作计划，统筹团队分工，落实内控与不相容岗位分离。</w:t>
      </w:r>
    </w:p>
    <w:p w14:paraId="04BB0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 组织建立、修订财务内控制度、资金审批、项目财务管理制度，监督制度落地执行。</w:t>
      </w:r>
    </w:p>
    <w:p w14:paraId="26CB4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 统筹年度预算、决算、财务分析，定期向公司管理层报送经营及资金分析，提供决策建议。</w:t>
      </w:r>
    </w:p>
    <w:p w14:paraId="48056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 统筹资金计划、融资还本付息安排，重大资金支出审核，管控资金风险。</w:t>
      </w:r>
    </w:p>
    <w:p w14:paraId="039B7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 审核财务报表、重大合同财务条款，组织项目竣工财务决算。</w:t>
      </w:r>
    </w:p>
    <w:p w14:paraId="704B4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6. 对接财政、税务、审计、银行等外部单位，统筹各类专项检查、审计工作。</w:t>
      </w:r>
    </w:p>
    <w:p w14:paraId="0A7C8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7. 组织财务风险排查，落实审计、巡察问题整改；部门人员管理、业务指导。</w:t>
      </w:r>
    </w:p>
    <w:p w14:paraId="4DA19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任职要求</w:t>
      </w:r>
    </w:p>
    <w:p w14:paraId="705D1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1.年龄：40周岁（含）以下（1985年10月21日以后出生）至2008年10月21日”期间出生</w:t>
      </w:r>
    </w:p>
    <w:p w14:paraId="688CC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2.性别：不限</w:t>
      </w:r>
    </w:p>
    <w:p w14:paraId="2FFA8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3.学历：本科及以上学历</w:t>
      </w:r>
    </w:p>
    <w:p w14:paraId="235C2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4.专业：会计与审计类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专业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 w14:paraId="1A8F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5.其他条件：具有5年及以上财务工作经验；具有中级会计师及以上职称。</w:t>
      </w:r>
    </w:p>
    <w:p w14:paraId="560B9A1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Style w:val="7"/>
          <w:rFonts w:hint="eastAsia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  <w:lang w:val="en-US" w:eastAsia="zh-CN"/>
        </w:rPr>
      </w:pPr>
    </w:p>
    <w:p w14:paraId="0815846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Style w:val="7"/>
          <w:rFonts w:hint="default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Style w:val="7"/>
          <w:rFonts w:hint="eastAsia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  <w:lang w:val="en-US" w:eastAsia="zh-CN"/>
        </w:rPr>
        <w:t>（二）</w:t>
      </w:r>
      <w:r>
        <w:rPr>
          <w:rStyle w:val="7"/>
          <w:rFonts w:hint="default" w:ascii="Times New Roman" w:hAnsi="Times New Roman" w:eastAsia="楷体_GB2312" w:cs="Times New Roman"/>
          <w:b/>
          <w:bCs w:val="0"/>
          <w:color w:val="000000"/>
          <w:sz w:val="32"/>
          <w:szCs w:val="32"/>
          <w:u w:val="none"/>
          <w:lang w:val="en-US" w:eastAsia="zh-CN"/>
        </w:rPr>
        <w:t>福建省邵武市竹立方品牌运营有限公司</w:t>
      </w:r>
    </w:p>
    <w:p w14:paraId="642DC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岗位10201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】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品牌策划专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员（1）</w:t>
      </w:r>
    </w:p>
    <w:p w14:paraId="03951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56D48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1.负责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武夷竹立方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品牌整体策划，包括品牌定位、形象设计、广告宣传等：</w:t>
      </w:r>
    </w:p>
    <w:p w14:paraId="5ADE5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2.制定营销策略及宣传推广方案，提升品牌知名度和美誉度；</w:t>
      </w:r>
    </w:p>
    <w:p w14:paraId="354B8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3.协调各部门工作，确保品牌运营工作顺利进行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</w:p>
    <w:p w14:paraId="58970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4.负责公司日常行政事务及文书工作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 w14:paraId="3E8D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：</w:t>
      </w:r>
    </w:p>
    <w:p w14:paraId="5596E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1.年龄：38周岁（含）以下（在“1987年10月21日至2008年10月21日”期间出生）</w:t>
      </w:r>
    </w:p>
    <w:p w14:paraId="57A2B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2.性别：女性</w:t>
      </w:r>
    </w:p>
    <w:p w14:paraId="65A98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3.学历：本科及以上学历</w:t>
      </w:r>
    </w:p>
    <w:p w14:paraId="618FD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4.专业：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市场营销、广告学、新闻传播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、中文、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产品设计、美术（学）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等相关专业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297D3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5.其他条件：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具备较强的文案撰写能力和创意策划能力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熟练使用 Office办公软件及设计类软件者优先；工作责任心强，具备良好的沟通协调能力和团队合作精神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具有品牌策划或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宣传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推广相关工作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经验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优先。</w:t>
      </w:r>
    </w:p>
    <w:p w14:paraId="2A128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岗位10202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】品牌策划专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员（2）</w:t>
      </w:r>
    </w:p>
    <w:p w14:paraId="54A9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16C86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1.负责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武夷竹立方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品牌整体策划，包括品牌定位、形象设计、广告宣传等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；</w:t>
      </w:r>
    </w:p>
    <w:p w14:paraId="433ED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2.制定营销策略及宣传推广方案，提升品牌知名度和美誉度；</w:t>
      </w:r>
    </w:p>
    <w:p w14:paraId="1D0A5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3.协调各部门工作，确保品牌运营工作顺利进行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；</w:t>
      </w:r>
    </w:p>
    <w:p w14:paraId="0607D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4.负责公司日常行政事务及文书工作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47EB4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7344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1.年龄：38周岁（含）以下（在“1987年10月21日至2008年10月21日”期间出生）</w:t>
      </w:r>
    </w:p>
    <w:p w14:paraId="00C3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2.性别：男性</w:t>
      </w:r>
    </w:p>
    <w:p w14:paraId="05F77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3.学历：本科及以上学历</w:t>
      </w:r>
    </w:p>
    <w:p w14:paraId="5E08D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4.专业：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市场营销、广告学、新闻传播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、中文、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产品设计、美术（学）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等相关专业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5119F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5.其他条件：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具备较强的文案撰写能力和创意策划能力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熟练使用 Office办公软件及设计类软件者优先；工作责任心强，具备良好的沟通协调能力和团队合作精神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具有品牌策划或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宣传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推广相关工作经验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优先。</w:t>
      </w:r>
    </w:p>
    <w:p w14:paraId="0604E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岗位1020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】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合作管理专员</w:t>
      </w:r>
    </w:p>
    <w:p w14:paraId="556DE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43865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1.拓展线上线下合作渠道，建立并维护与其他企业、机构及个人的合作关系；</w:t>
      </w:r>
    </w:p>
    <w:p w14:paraId="444B5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2.推动品牌战略的建立与发展，实现资源共享与优势互补，扩大市场份额；</w:t>
      </w:r>
    </w:p>
    <w:p w14:paraId="7D3D5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3.抓好"武夷竹立方"产品质量控制，确保产品符合相关标准和客户要求；</w:t>
      </w:r>
    </w:p>
    <w:p w14:paraId="47B4C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4.开展客户回访工作，收集客户反馈，提升客户满意度。</w:t>
      </w:r>
    </w:p>
    <w:p w14:paraId="60F2C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411D5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1.年龄：38周岁（含）以下（在“1987年10月21日至2008年10月21日”期间出生）</w:t>
      </w:r>
    </w:p>
    <w:p w14:paraId="0B3C0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2.性别：不限</w:t>
      </w:r>
    </w:p>
    <w:p w14:paraId="5B255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3.学历：大专及以上学历</w:t>
      </w:r>
    </w:p>
    <w:p w14:paraId="49113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4.专业：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工商管理、国际贸易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、供应链管理等相关专业；</w:t>
      </w:r>
    </w:p>
    <w:p w14:paraId="68AB5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5.其他条件：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具备较强的商务谈判能力和资源整合能力；熟悉产品质量管理体系及相关标准；服务意识强，具备良好的沟通协调能力和抗压能力。</w:t>
      </w:r>
    </w:p>
    <w:p w14:paraId="7A0E5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岗位1020</w:t>
      </w:r>
      <w:r>
        <w:rPr>
          <w:rFonts w:hint="eastAsia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】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资产财务专员</w:t>
      </w:r>
    </w:p>
    <w:p w14:paraId="1A9C9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岗位职责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170D4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1.负责公司会计核算、财务管理工作；</w:t>
      </w:r>
    </w:p>
    <w:p w14:paraId="53B4D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2.负责经济指标核定、报表汇总、采购监管；</w:t>
      </w:r>
    </w:p>
    <w:p w14:paraId="4A8F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3.负责公司财务监督；</w:t>
      </w:r>
    </w:p>
    <w:p w14:paraId="5D00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4.负责公司资产管理工作。</w:t>
      </w:r>
    </w:p>
    <w:p w14:paraId="3D6AC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</w:rPr>
        <w:t>任职要求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：</w:t>
      </w:r>
    </w:p>
    <w:p w14:paraId="0CD5F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1.年龄：38周岁（含）以下（在“1987年10月21日至2008年10月21日”期间出生）</w:t>
      </w:r>
    </w:p>
    <w:p w14:paraId="0E097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2.学历：本科及以上学历</w:t>
      </w:r>
    </w:p>
    <w:p w14:paraId="12EB2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3.专业：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会计学、财务管理、审计学等相关专业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7BFFA427"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4.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其他条件：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具有5年及以上财务工作经验；具有初级会计师及以上职称。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熟悉国家财经法规及企业财务制度，熟练操作财务软件；工作细致严谨，具备良好的职业道德和保密意识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861D0"/>
    <w:rsid w:val="77B8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200" w:leftChars="200"/>
    </w:pPr>
    <w:rPr>
      <w:rFonts w:ascii="Times New Roman" w:hAnsi="Times New Roman" w:eastAsia="宋体" w:cs="Times New Roman"/>
    </w:rPr>
  </w:style>
  <w:style w:type="paragraph" w:styleId="3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Body Text First Indent 2"/>
    <w:basedOn w:val="2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character" w:styleId="7">
    <w:name w:val="Hyperlink"/>
    <w:basedOn w:val="6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2026-10-20T15:48:00Z</dcterms:created>
  <dc:creator>曾文铸</dc:creator>
  <cp:lastModifiedBy>曾文铸</cp:lastModifiedBy>
  <dcterms:modified xsi:type="dcterms:W3CDTF">2026-10-20T15:49:43Z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4882918E95D04B0E92BAE0D4931B028E_11</vt:lpwstr>
  </property>
  <property fmtid="{D5CDD505-2E9C-101B-9397-08002B2CF9AE}" pid="4" name="KSOTemplateDocerSaveRecord">
    <vt:lpwstr>eyJoZGlkIjoiOTAyMDYxZDYyZjI4ZWNmMDcyODA2NTVkM2MzNGUyYWQiLCJ1c2VySWQiOiIzMjU3NDIyOTIifQ==</vt:lpwstr>
  </property>
</Properties>
</file>