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CA30C">
      <w:pPr>
        <w:pStyle w:val="62"/>
        <w:spacing w:before="0" w:beforeAutospacing="0" w:after="0" w:afterAutospacing="0" w:line="560" w:lineRule="exact"/>
        <w:ind w:firstLine="0" w:firstLineChars="0"/>
        <w:rPr>
          <w:rFonts w:hint="eastAsia" w:ascii="方正黑体_GBK" w:hAnsi="方正黑体_GBK" w:eastAsia="方正黑体_GBK" w:cs="方正黑体_GBK"/>
          <w:color w:val="000000"/>
          <w:sz w:val="32"/>
          <w:szCs w:val="32"/>
          <w:lang w:val="en-US" w:eastAsia="zh-CN"/>
        </w:rPr>
      </w:pPr>
      <w:bookmarkStart w:id="0" w:name="_GoBack"/>
      <w:bookmarkEnd w:id="0"/>
      <w:r>
        <w:rPr>
          <w:rFonts w:hint="eastAsia" w:ascii="方正黑体_GBK" w:hAnsi="方正黑体_GBK" w:eastAsia="方正黑体_GBK" w:cs="方正黑体_GBK"/>
          <w:color w:val="000000"/>
          <w:sz w:val="32"/>
          <w:szCs w:val="32"/>
          <w:lang w:val="en-US" w:eastAsia="zh-CN"/>
        </w:rPr>
        <w:t>附件</w:t>
      </w:r>
    </w:p>
    <w:p w14:paraId="61A20FE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Style w:val="27"/>
          <w:rFonts w:hint="eastAsia" w:ascii="方正小标宋_GBK" w:hAnsi="方正小标宋_GBK" w:eastAsia="方正小标宋_GBK" w:cs="方正小标宋_GBK"/>
          <w:b w:val="0"/>
          <w:bCs w:val="0"/>
          <w:sz w:val="44"/>
          <w:szCs w:val="44"/>
          <w:lang w:val="en-US" w:eastAsia="zh-CN"/>
        </w:rPr>
      </w:pPr>
      <w:r>
        <w:rPr>
          <w:rStyle w:val="27"/>
          <w:rFonts w:hint="eastAsia" w:ascii="方正小标宋_GBK" w:hAnsi="方正小标宋_GBK" w:eastAsia="方正小标宋_GBK" w:cs="方正小标宋_GBK"/>
          <w:b w:val="0"/>
          <w:bCs w:val="0"/>
          <w:sz w:val="44"/>
          <w:szCs w:val="44"/>
          <w:lang w:val="en-US" w:eastAsia="zh-CN"/>
        </w:rPr>
        <w:t>交通银行2027级博士后研究课题说明</w:t>
      </w:r>
    </w:p>
    <w:p w14:paraId="6A75402B">
      <w:pPr>
        <w:spacing w:line="560" w:lineRule="exact"/>
        <w:ind w:firstLine="640" w:firstLineChars="200"/>
        <w:rPr>
          <w:rStyle w:val="27"/>
          <w:rFonts w:hint="default" w:ascii="方正黑体_GBK" w:hAnsi="方正黑体_GBK" w:eastAsia="方正黑体_GBK" w:cs="方正黑体_GBK"/>
          <w:b w:val="0"/>
          <w:bCs w:val="0"/>
          <w:kern w:val="2"/>
          <w:sz w:val="32"/>
          <w:szCs w:val="32"/>
          <w:lang w:val="en-US" w:eastAsia="zh-CN" w:bidi="ar-SA"/>
        </w:rPr>
      </w:pPr>
      <w:r>
        <w:rPr>
          <w:rStyle w:val="27"/>
          <w:rFonts w:hint="eastAsia" w:ascii="方正黑体_GBK" w:hAnsi="方正黑体_GBK" w:eastAsia="方正黑体_GBK" w:cs="方正黑体_GBK"/>
          <w:b w:val="0"/>
          <w:bCs w:val="0"/>
          <w:kern w:val="2"/>
          <w:sz w:val="32"/>
          <w:szCs w:val="32"/>
          <w:lang w:val="en-US" w:eastAsia="zh-CN" w:bidi="ar-SA"/>
        </w:rPr>
        <w:t>一、研究课题</w:t>
      </w:r>
    </w:p>
    <w:p w14:paraId="1ED93E3C">
      <w:pPr>
        <w:pStyle w:val="62"/>
        <w:spacing w:before="0" w:beforeAutospacing="0" w:after="0" w:afterAutospacing="0" w:line="560" w:lineRule="exact"/>
        <w:ind w:firstLine="64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lang w:eastAsia="zh-CN"/>
        </w:rPr>
        <w:t>（</w:t>
      </w:r>
      <w:r>
        <w:rPr>
          <w:rFonts w:hint="eastAsia" w:ascii="方正楷体_GBK" w:hAnsi="方正楷体_GBK" w:eastAsia="方正楷体_GBK" w:cs="方正楷体_GBK"/>
          <w:color w:val="000000"/>
          <w:sz w:val="32"/>
          <w:szCs w:val="32"/>
          <w:lang w:val="en-US" w:eastAsia="zh-CN"/>
        </w:rPr>
        <w:t>一）</w:t>
      </w:r>
      <w:r>
        <w:rPr>
          <w:rFonts w:hint="eastAsia" w:ascii="方正楷体_GBK" w:hAnsi="方正楷体_GBK" w:eastAsia="方正楷体_GBK" w:cs="方正楷体_GBK"/>
          <w:color w:val="000000"/>
          <w:sz w:val="32"/>
          <w:szCs w:val="32"/>
        </w:rPr>
        <w:t>人工智能在金融领域应用</w:t>
      </w:r>
    </w:p>
    <w:p w14:paraId="681CC4EB">
      <w:pPr>
        <w:pStyle w:val="62"/>
        <w:spacing w:before="0" w:beforeAutospacing="0" w:after="0" w:afterAutospacing="0" w:line="560" w:lineRule="exact"/>
        <w:ind w:firstLine="640"/>
        <w:jc w:val="both"/>
        <w:rPr>
          <w:rFonts w:hint="eastAsia" w:ascii="方正仿宋_GBK" w:eastAsia="方正仿宋_GBK"/>
          <w:color w:val="000000"/>
          <w:sz w:val="32"/>
          <w:szCs w:val="32"/>
        </w:rPr>
      </w:pPr>
      <w:r>
        <w:rPr>
          <w:rFonts w:hint="eastAsia" w:ascii="方正仿宋_GBK" w:eastAsia="方正仿宋_GBK"/>
          <w:color w:val="000000"/>
          <w:sz w:val="32"/>
          <w:szCs w:val="32"/>
          <w:lang w:eastAsia="zh-CN"/>
        </w:rPr>
        <w:t>方向</w:t>
      </w:r>
      <w:r>
        <w:rPr>
          <w:rFonts w:hint="eastAsia" w:ascii="方正仿宋_GBK" w:eastAsia="方正仿宋_GBK"/>
          <w:color w:val="000000"/>
          <w:sz w:val="32"/>
          <w:szCs w:val="32"/>
        </w:rPr>
        <w:t>1</w:t>
      </w:r>
      <w:r>
        <w:rPr>
          <w:rFonts w:hint="eastAsia" w:ascii="方正仿宋_GBK" w:eastAsia="方正仿宋_GBK"/>
          <w:color w:val="000000"/>
          <w:sz w:val="32"/>
          <w:szCs w:val="32"/>
          <w:lang w:eastAsia="zh-CN"/>
        </w:rPr>
        <w:t>：</w:t>
      </w:r>
      <w:r>
        <w:rPr>
          <w:rFonts w:hint="eastAsia" w:ascii="方正仿宋_GBK" w:hAnsi="方正仿宋_GBK" w:eastAsia="方正仿宋_GBK" w:cs="方正仿宋_GBK"/>
          <w:i w:val="0"/>
          <w:iCs w:val="0"/>
          <w:color w:val="000000"/>
          <w:kern w:val="0"/>
          <w:sz w:val="32"/>
          <w:szCs w:val="32"/>
          <w:u w:val="none"/>
          <w:lang w:val="en-US" w:eastAsia="zh-CN" w:bidi="ar"/>
        </w:rPr>
        <w:t>金融领域人工智能伦理与安全治理研究</w:t>
      </w:r>
    </w:p>
    <w:p w14:paraId="48F7F722">
      <w:pPr>
        <w:pStyle w:val="62"/>
        <w:spacing w:before="0" w:beforeAutospacing="0" w:after="0" w:afterAutospacing="0" w:line="560" w:lineRule="exact"/>
        <w:ind w:firstLine="640"/>
        <w:jc w:val="both"/>
        <w:rPr>
          <w:rFonts w:hint="default" w:ascii="方正仿宋_GBK" w:eastAsia="方正仿宋_GBK"/>
          <w:color w:val="000000"/>
          <w:sz w:val="32"/>
          <w:szCs w:val="32"/>
          <w:lang w:val="en-US"/>
        </w:rPr>
      </w:pPr>
      <w:r>
        <w:rPr>
          <w:rFonts w:hint="eastAsia" w:ascii="方正仿宋_GBK" w:eastAsia="方正仿宋_GBK"/>
          <w:color w:val="000000"/>
          <w:sz w:val="32"/>
          <w:szCs w:val="32"/>
          <w:lang w:eastAsia="zh-CN"/>
        </w:rPr>
        <w:t>方向</w:t>
      </w:r>
      <w:r>
        <w:rPr>
          <w:rFonts w:hint="eastAsia" w:ascii="方正仿宋_GBK" w:eastAsia="方正仿宋_GBK"/>
          <w:color w:val="000000"/>
          <w:sz w:val="32"/>
          <w:szCs w:val="32"/>
        </w:rPr>
        <w:t>2</w:t>
      </w:r>
      <w:r>
        <w:rPr>
          <w:rFonts w:hint="eastAsia" w:ascii="方正仿宋_GBK" w:eastAsia="方正仿宋_GBK"/>
          <w:color w:val="000000"/>
          <w:sz w:val="32"/>
          <w:szCs w:val="32"/>
          <w:lang w:eastAsia="zh-CN"/>
        </w:rPr>
        <w:t>：</w:t>
      </w:r>
      <w:r>
        <w:rPr>
          <w:rFonts w:hint="eastAsia" w:ascii="方正仿宋_GBK" w:hAnsi="方正仿宋_GBK" w:eastAsia="方正仿宋_GBK" w:cs="方正仿宋_GBK"/>
          <w:i w:val="0"/>
          <w:iCs w:val="0"/>
          <w:color w:val="000000"/>
          <w:kern w:val="0"/>
          <w:sz w:val="32"/>
          <w:szCs w:val="32"/>
          <w:u w:val="none"/>
          <w:lang w:val="en-US" w:eastAsia="zh-CN" w:bidi="ar"/>
        </w:rPr>
        <w:t>AI原生手机银行服务模式研究</w:t>
      </w:r>
    </w:p>
    <w:p w14:paraId="337CD1A1">
      <w:pPr>
        <w:pStyle w:val="62"/>
        <w:spacing w:before="0" w:beforeAutospacing="0" w:after="0" w:afterAutospacing="0" w:line="560" w:lineRule="exact"/>
        <w:ind w:firstLine="640"/>
        <w:jc w:val="both"/>
        <w:rPr>
          <w:rFonts w:hint="eastAsia" w:ascii="方正仿宋_GBK" w:eastAsia="方正仿宋_GBK"/>
          <w:color w:val="000000"/>
          <w:sz w:val="32"/>
          <w:szCs w:val="32"/>
        </w:rPr>
      </w:pPr>
      <w:r>
        <w:rPr>
          <w:rFonts w:hint="eastAsia" w:ascii="方正仿宋_GBK" w:eastAsia="方正仿宋_GBK"/>
          <w:color w:val="000000"/>
          <w:sz w:val="32"/>
          <w:szCs w:val="32"/>
          <w:lang w:eastAsia="zh-CN"/>
        </w:rPr>
        <w:t>方向</w:t>
      </w:r>
      <w:r>
        <w:rPr>
          <w:rFonts w:hint="eastAsia" w:ascii="方正仿宋_GBK" w:eastAsia="方正仿宋_GBK"/>
          <w:color w:val="000000"/>
          <w:sz w:val="32"/>
          <w:szCs w:val="32"/>
        </w:rPr>
        <w:t>3</w:t>
      </w:r>
      <w:r>
        <w:rPr>
          <w:rFonts w:hint="eastAsia" w:ascii="方正仿宋_GBK" w:eastAsia="方正仿宋_GBK"/>
          <w:color w:val="000000"/>
          <w:sz w:val="32"/>
          <w:szCs w:val="32"/>
          <w:lang w:eastAsia="zh-CN"/>
        </w:rPr>
        <w:t>：</w:t>
      </w:r>
      <w:r>
        <w:rPr>
          <w:rFonts w:hint="eastAsia" w:ascii="方正仿宋_GBK" w:hAnsi="方正仿宋_GBK" w:eastAsia="方正仿宋_GBK" w:cs="方正仿宋_GBK"/>
          <w:i w:val="0"/>
          <w:iCs w:val="0"/>
          <w:color w:val="000000"/>
          <w:kern w:val="0"/>
          <w:sz w:val="32"/>
          <w:szCs w:val="32"/>
          <w:u w:val="none"/>
          <w:lang w:val="en-US" w:eastAsia="zh-CN" w:bidi="ar"/>
        </w:rPr>
        <w:t>基于集团投研平台的AI应用机制研究</w:t>
      </w:r>
    </w:p>
    <w:p w14:paraId="49FAE48C">
      <w:pPr>
        <w:pStyle w:val="62"/>
        <w:spacing w:before="0" w:beforeAutospacing="0" w:after="0" w:afterAutospacing="0" w:line="560" w:lineRule="exact"/>
        <w:ind w:firstLine="64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（二）健全科技金融服务体系路径</w:t>
      </w:r>
    </w:p>
    <w:p w14:paraId="2D4805BB">
      <w:pPr>
        <w:pStyle w:val="62"/>
        <w:spacing w:before="0" w:beforeAutospacing="0" w:after="0" w:afterAutospacing="0" w:line="560" w:lineRule="exact"/>
        <w:ind w:firstLine="640" w:firstLineChars="200"/>
        <w:jc w:val="both"/>
        <w:rPr>
          <w:rFonts w:hint="eastAsia" w:ascii="方正仿宋_GBK" w:eastAsia="方正仿宋_GBK"/>
          <w:color w:val="000000"/>
          <w:sz w:val="32"/>
          <w:szCs w:val="32"/>
        </w:rPr>
      </w:pPr>
      <w:r>
        <w:rPr>
          <w:rFonts w:hint="eastAsia" w:ascii="方正仿宋_GBK" w:eastAsia="方正仿宋_GBK"/>
          <w:color w:val="000000"/>
          <w:sz w:val="32"/>
          <w:szCs w:val="32"/>
          <w:lang w:val="en-US" w:eastAsia="zh-CN"/>
        </w:rPr>
        <w:t>方向4：</w:t>
      </w:r>
      <w:r>
        <w:rPr>
          <w:rFonts w:hint="eastAsia" w:ascii="方正仿宋_GBK" w:eastAsia="方正仿宋_GBK"/>
          <w:color w:val="000000"/>
          <w:sz w:val="32"/>
          <w:szCs w:val="32"/>
          <w:highlight w:val="none"/>
          <w:lang w:val="en-US" w:eastAsia="zh-CN"/>
        </w:rPr>
        <w:t>人工智能产业趋势及商业银行差异化展业策略研究</w:t>
      </w:r>
    </w:p>
    <w:p w14:paraId="249EA6EA">
      <w:pPr>
        <w:pStyle w:val="62"/>
        <w:spacing w:before="0" w:beforeAutospacing="0" w:after="0" w:afterAutospacing="0" w:line="560" w:lineRule="exact"/>
        <w:ind w:firstLine="640"/>
        <w:jc w:val="both"/>
        <w:rPr>
          <w:rFonts w:hint="eastAsia" w:ascii="方正仿宋_GBK" w:eastAsia="方正仿宋_GBK"/>
          <w:color w:val="000000"/>
          <w:sz w:val="32"/>
          <w:szCs w:val="32"/>
        </w:rPr>
      </w:pPr>
      <w:r>
        <w:rPr>
          <w:rFonts w:hint="eastAsia" w:ascii="方正仿宋_GBK" w:eastAsia="方正仿宋_GBK"/>
          <w:color w:val="000000"/>
          <w:sz w:val="32"/>
          <w:szCs w:val="32"/>
          <w:lang w:val="en-US" w:eastAsia="zh-CN"/>
        </w:rPr>
        <w:t>方向5：</w:t>
      </w:r>
      <w:r>
        <w:rPr>
          <w:rFonts w:hint="eastAsia" w:ascii="方正仿宋_GBK" w:eastAsia="方正仿宋_GBK"/>
          <w:color w:val="000000"/>
          <w:sz w:val="32"/>
          <w:szCs w:val="32"/>
        </w:rPr>
        <w:t>科技型企业投贷联动风险防控的体制机制研究</w:t>
      </w:r>
    </w:p>
    <w:p w14:paraId="5F5F828B">
      <w:pPr>
        <w:pStyle w:val="62"/>
        <w:spacing w:before="0" w:beforeAutospacing="0" w:after="0" w:afterAutospacing="0" w:line="560" w:lineRule="exact"/>
        <w:ind w:firstLine="64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（三）区块链技术在跨境金融领域应用</w:t>
      </w:r>
    </w:p>
    <w:p w14:paraId="5A1E035D">
      <w:pPr>
        <w:pStyle w:val="62"/>
        <w:spacing w:before="0" w:beforeAutospacing="0" w:after="0" w:afterAutospacing="0" w:line="560" w:lineRule="exact"/>
        <w:ind w:firstLine="640"/>
        <w:jc w:val="both"/>
        <w:rPr>
          <w:rFonts w:hint="eastAsia" w:ascii="方正仿宋_GBK" w:eastAsia="方正仿宋_GBK"/>
          <w:color w:val="000000"/>
          <w:sz w:val="32"/>
          <w:szCs w:val="32"/>
        </w:rPr>
      </w:pPr>
      <w:r>
        <w:rPr>
          <w:rFonts w:hint="eastAsia" w:ascii="方正仿宋_GBK" w:eastAsia="方正仿宋_GBK"/>
          <w:color w:val="000000"/>
          <w:sz w:val="32"/>
          <w:szCs w:val="32"/>
          <w:lang w:val="en-US" w:eastAsia="zh-CN"/>
        </w:rPr>
        <w:t>方向6：</w:t>
      </w:r>
      <w:r>
        <w:rPr>
          <w:rFonts w:hint="eastAsia" w:ascii="方正仿宋_GBK" w:eastAsia="方正仿宋_GBK"/>
          <w:color w:val="000000"/>
          <w:sz w:val="32"/>
          <w:szCs w:val="32"/>
        </w:rPr>
        <w:t>跨境贸易可信数据赋能银行金融服务创新研究</w:t>
      </w:r>
    </w:p>
    <w:p w14:paraId="78E804B1">
      <w:pPr>
        <w:pStyle w:val="62"/>
        <w:spacing w:before="0" w:beforeAutospacing="0" w:after="0" w:afterAutospacing="0" w:line="560" w:lineRule="exact"/>
        <w:ind w:firstLine="640"/>
        <w:jc w:val="both"/>
        <w:rPr>
          <w:rFonts w:hint="eastAsia" w:ascii="方正仿宋_GBK" w:eastAsia="方正仿宋_GBK"/>
          <w:color w:val="000000"/>
          <w:sz w:val="32"/>
          <w:szCs w:val="32"/>
        </w:rPr>
      </w:pPr>
      <w:r>
        <w:rPr>
          <w:rFonts w:hint="eastAsia" w:ascii="方正仿宋_GBK" w:eastAsia="方正仿宋_GBK"/>
          <w:color w:val="000000"/>
          <w:sz w:val="32"/>
          <w:szCs w:val="32"/>
          <w:lang w:val="en-US" w:eastAsia="zh-CN"/>
        </w:rPr>
        <w:t>方向7：</w:t>
      </w:r>
      <w:r>
        <w:rPr>
          <w:rFonts w:hint="eastAsia" w:ascii="方正仿宋_GBK" w:eastAsia="方正仿宋_GBK"/>
          <w:color w:val="000000"/>
          <w:sz w:val="32"/>
          <w:szCs w:val="32"/>
        </w:rPr>
        <w:t>数字人民币结合区块链技术的场景落地与商业化价值研究</w:t>
      </w:r>
    </w:p>
    <w:p w14:paraId="2BF8A6C6">
      <w:pPr>
        <w:pStyle w:val="62"/>
        <w:spacing w:before="0" w:beforeAutospacing="0" w:after="0" w:afterAutospacing="0" w:line="560" w:lineRule="exact"/>
        <w:ind w:firstLine="640" w:firstLineChars="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（四）商业银行资产组合转型</w:t>
      </w:r>
    </w:p>
    <w:p w14:paraId="5122A35E">
      <w:pPr>
        <w:pStyle w:val="62"/>
        <w:spacing w:before="0" w:beforeAutospacing="0" w:after="0" w:afterAutospacing="0" w:line="560" w:lineRule="exact"/>
        <w:ind w:firstLine="640"/>
        <w:jc w:val="both"/>
        <w:rPr>
          <w:rFonts w:hint="eastAsia" w:ascii="方正仿宋_GBK" w:eastAsia="方正仿宋_GBK"/>
          <w:color w:val="000000"/>
          <w:sz w:val="32"/>
          <w:szCs w:val="32"/>
        </w:rPr>
      </w:pPr>
      <w:r>
        <w:rPr>
          <w:rFonts w:hint="eastAsia" w:ascii="方正仿宋_GBK" w:eastAsia="方正仿宋_GBK"/>
          <w:color w:val="000000"/>
          <w:sz w:val="32"/>
          <w:szCs w:val="32"/>
          <w:lang w:val="en-US" w:eastAsia="zh-CN"/>
        </w:rPr>
        <w:t>方向8：商业银行资产组合碳排放量计量研究</w:t>
      </w:r>
    </w:p>
    <w:p w14:paraId="75FBCF0F">
      <w:pPr>
        <w:pStyle w:val="62"/>
        <w:spacing w:before="0" w:beforeAutospacing="0" w:after="0" w:afterAutospacing="0" w:line="560" w:lineRule="exact"/>
        <w:ind w:firstLine="640"/>
        <w:jc w:val="both"/>
        <w:rPr>
          <w:rFonts w:hint="eastAsia" w:ascii="方正仿宋_GBK" w:eastAsia="方正仿宋_GBK"/>
          <w:color w:val="000000"/>
          <w:sz w:val="32"/>
          <w:szCs w:val="32"/>
        </w:rPr>
      </w:pPr>
      <w:r>
        <w:rPr>
          <w:rFonts w:hint="eastAsia" w:ascii="方正仿宋_GBK" w:eastAsia="方正仿宋_GBK"/>
          <w:color w:val="000000"/>
          <w:sz w:val="32"/>
          <w:szCs w:val="32"/>
          <w:lang w:val="en-US" w:eastAsia="zh-CN"/>
        </w:rPr>
        <w:t>方向9：商业银行资产组合碳中和路线图与业务策略研究</w:t>
      </w:r>
    </w:p>
    <w:p w14:paraId="508E7598">
      <w:pPr>
        <w:spacing w:line="560" w:lineRule="exact"/>
        <w:ind w:firstLine="640" w:firstLineChars="200"/>
        <w:rPr>
          <w:rStyle w:val="27"/>
          <w:rFonts w:hint="eastAsia" w:ascii="方正黑体_GBK" w:hAnsi="方正黑体_GBK" w:eastAsia="方正黑体_GBK" w:cs="方正黑体_GBK"/>
          <w:b w:val="0"/>
          <w:bCs w:val="0"/>
          <w:kern w:val="2"/>
          <w:sz w:val="32"/>
          <w:szCs w:val="32"/>
          <w:lang w:val="en-US" w:eastAsia="zh-CN" w:bidi="ar-SA"/>
        </w:rPr>
      </w:pPr>
    </w:p>
    <w:p w14:paraId="13ED4B44">
      <w:pPr>
        <w:numPr>
          <w:ilvl w:val="0"/>
          <w:numId w:val="1"/>
        </w:numPr>
        <w:spacing w:line="560" w:lineRule="exact"/>
        <w:ind w:firstLine="640" w:firstLineChars="200"/>
        <w:rPr>
          <w:rStyle w:val="27"/>
          <w:rFonts w:hint="eastAsia" w:ascii="方正黑体_GBK" w:hAnsi="方正黑体_GBK" w:eastAsia="方正黑体_GBK" w:cs="方正黑体_GBK"/>
          <w:b w:val="0"/>
          <w:bCs w:val="0"/>
          <w:kern w:val="2"/>
          <w:sz w:val="32"/>
          <w:szCs w:val="32"/>
          <w:lang w:val="en-US" w:eastAsia="zh-CN" w:bidi="ar-SA"/>
        </w:rPr>
      </w:pPr>
      <w:r>
        <w:rPr>
          <w:rStyle w:val="27"/>
          <w:rFonts w:hint="eastAsia" w:ascii="方正黑体_GBK" w:hAnsi="方正黑体_GBK" w:eastAsia="方正黑体_GBK" w:cs="方正黑体_GBK"/>
          <w:b w:val="0"/>
          <w:bCs w:val="0"/>
          <w:kern w:val="2"/>
          <w:sz w:val="32"/>
          <w:szCs w:val="32"/>
          <w:lang w:val="en-US" w:eastAsia="zh-CN" w:bidi="ar-SA"/>
        </w:rPr>
        <w:t>课题说明</w:t>
      </w:r>
    </w:p>
    <w:p w14:paraId="62D33819">
      <w:pPr>
        <w:pStyle w:val="62"/>
        <w:numPr>
          <w:ilvl w:val="0"/>
          <w:numId w:val="2"/>
        </w:numPr>
        <w:spacing w:before="0" w:beforeAutospacing="0" w:after="0" w:afterAutospacing="0" w:line="560" w:lineRule="exact"/>
        <w:ind w:firstLine="64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人工智能在金融领域应用</w:t>
      </w:r>
    </w:p>
    <w:p w14:paraId="38E43DDB">
      <w:pPr>
        <w:keepNext w:val="0"/>
        <w:keepLines w:val="0"/>
        <w:pageBreakBefore w:val="0"/>
        <w:kinsoku/>
        <w:wordWrap/>
        <w:topLinePunct w:val="0"/>
        <w:autoSpaceDN/>
        <w:bidi w:val="0"/>
        <w:adjustRightInd/>
        <w:spacing w:line="560" w:lineRule="exact"/>
        <w:ind w:firstLine="640" w:firstLineChars="200"/>
        <w:textAlignment w:val="auto"/>
        <w:rPr>
          <w:rStyle w:val="27"/>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kern w:val="2"/>
          <w:sz w:val="32"/>
          <w:szCs w:val="32"/>
          <w:lang w:val="en-US" w:eastAsia="zh-CN" w:bidi="ar"/>
        </w:rPr>
        <w:t>近年来，人工智能在金融领域业务创新和效率提升方面得到广泛应用，大幅提升了数据处理、风险控制和客户服务的效率。为了更好地发挥人工智能的潜力，结合交通银行业务实践，重点研究解决以下三个方面的问题：一是日益凸显的伦理问题和安全风险，包括算法歧视、公平性缺失、隐私边界模糊、责任认定不清等伦理困境，同时涉及模型幻觉、对抗性攻击、数据泄露、业务连续性受损等安全隐患；二是手</w:t>
      </w:r>
      <w:r>
        <w:rPr>
          <w:rFonts w:hint="eastAsia" w:ascii="方正仿宋_GBK" w:hAnsi="方正仿宋_GBK" w:eastAsia="方正仿宋_GBK" w:cs="方正仿宋_GBK"/>
          <w:b w:val="0"/>
          <w:bCs w:val="0"/>
          <w:kern w:val="2"/>
          <w:sz w:val="32"/>
          <w:szCs w:val="32"/>
          <w:lang w:val="en-US" w:eastAsia="zh-CN" w:bidi="ar"/>
        </w:rPr>
        <w:t>机银行“功能完备但任务难办”，目前存在智能问答、语音操作和业务场景整合方面分散化的问题；三是集团内投研平台</w:t>
      </w:r>
      <w:r>
        <w:rPr>
          <w:rFonts w:hint="eastAsia" w:ascii="方正仿宋_GBK" w:hAnsi="方正仿宋_GBK" w:eastAsia="方正仿宋_GBK" w:cs="方正仿宋_GBK"/>
          <w:sz w:val="32"/>
          <w:szCs w:val="32"/>
          <w:lang w:val="en-US" w:eastAsia="zh-CN"/>
        </w:rPr>
        <w:t>多源信息处理、研究知识复用、投研观点生成、风险识别预警等方面智能化应用不足。针对上述问题，确定以下重点研究方向：</w:t>
      </w:r>
    </w:p>
    <w:p w14:paraId="592681DC">
      <w:pPr>
        <w:keepNext w:val="0"/>
        <w:keepLines w:val="0"/>
        <w:pageBreakBefore w:val="0"/>
        <w:kinsoku/>
        <w:wordWrap/>
        <w:topLinePunct w:val="0"/>
        <w:autoSpaceDN/>
        <w:bidi w:val="0"/>
        <w:adjustRightInd/>
        <w:spacing w:line="560" w:lineRule="exact"/>
        <w:ind w:firstLine="640" w:firstLineChars="200"/>
        <w:textAlignment w:val="auto"/>
        <w:rPr>
          <w:rStyle w:val="27"/>
          <w:rFonts w:hint="eastAsia" w:ascii="方正仿宋_GBK" w:hAnsi="方正仿宋_GBK" w:eastAsia="方正仿宋_GBK" w:cs="方正仿宋_GBK"/>
          <w:b w:val="0"/>
          <w:bCs w:val="0"/>
          <w:sz w:val="32"/>
          <w:szCs w:val="32"/>
        </w:rPr>
      </w:pPr>
      <w:r>
        <w:rPr>
          <w:rStyle w:val="27"/>
          <w:rFonts w:hint="eastAsia" w:ascii="方正黑体_GBK" w:hAnsi="方正黑体_GBK" w:eastAsia="方正黑体_GBK" w:cs="方正黑体_GBK"/>
          <w:b w:val="0"/>
          <w:bCs w:val="0"/>
          <w:sz w:val="32"/>
          <w:szCs w:val="32"/>
          <w:lang w:val="en-US" w:eastAsia="zh-CN"/>
        </w:rPr>
        <w:t>方向1：金融领域人工智能伦理与安全治理研究</w:t>
      </w:r>
    </w:p>
    <w:p w14:paraId="28970336">
      <w:pPr>
        <w:pStyle w:val="19"/>
        <w:keepNext w:val="0"/>
        <w:keepLines w:val="0"/>
        <w:pageBreakBefore w:val="0"/>
        <w:widowControl/>
        <w:suppressLineNumbers w:val="0"/>
        <w:kinsoku/>
        <w:wordWrap/>
        <w:topLinePunct w:val="0"/>
        <w:autoSpaceDN/>
        <w:bidi w:val="0"/>
        <w:adjustRightInd/>
        <w:spacing w:before="0" w:beforeAutospacing="0" w:after="0" w:afterAutospacing="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kern w:val="2"/>
          <w:sz w:val="32"/>
          <w:szCs w:val="32"/>
          <w:lang w:val="en-US" w:eastAsia="zh-CN" w:bidi="ar"/>
        </w:rPr>
        <w:t>关注人工智能伦理和安全研究。一是系统研究国内外各层级人工智能伦理与安全监管框架、治理体系、技术标准与最佳实践，推进金融领域相关法律法规、行业标准的完善。二是结合交通银行人工智能应用现状，健全人工智能伦理与安全治理架构与制度规范。三是聚焦智能客服、智慧营销等典型场景，一体化研判存在的伦理问题与安全隐患，制定针对性治理措施并推动实施。</w:t>
      </w:r>
      <w:r>
        <w:rPr>
          <w:rFonts w:hint="eastAsia" w:ascii="方正仿宋_GBK" w:hAnsi="方正仿宋_GBK" w:eastAsia="方正仿宋_GBK" w:cs="方正仿宋_GBK"/>
          <w:sz w:val="32"/>
          <w:szCs w:val="32"/>
          <w:lang w:val="en-US" w:eastAsia="zh-CN"/>
        </w:rPr>
        <w:t xml:space="preserve">                </w:t>
      </w:r>
    </w:p>
    <w:p w14:paraId="30B165D2">
      <w:pPr>
        <w:pStyle w:val="5"/>
        <w:keepNext w:val="0"/>
        <w:keepLines w:val="0"/>
        <w:pageBreakBefore w:val="0"/>
        <w:widowControl/>
        <w:suppressLineNumbers w:val="0"/>
        <w:kinsoku/>
        <w:wordWrap/>
        <w:overflowPunct/>
        <w:topLinePunct w:val="0"/>
        <w:autoSpaceDE w:val="0"/>
        <w:autoSpaceDN/>
        <w:bidi w:val="0"/>
        <w:adjustRightInd/>
        <w:spacing w:before="0" w:beforeAutospacing="0" w:after="0" w:afterAutospacing="0" w:line="560" w:lineRule="exact"/>
        <w:ind w:left="0" w:right="0" w:firstLine="640" w:firstLineChars="200"/>
        <w:jc w:val="both"/>
        <w:textAlignment w:val="auto"/>
        <w:rPr>
          <w:rFonts w:hint="eastAsia" w:ascii="方正仿宋_GBK" w:hAnsi="方正仿宋_GBK" w:eastAsia="方正仿宋_GBK" w:cs="方正仿宋_GBK"/>
          <w:b w:val="0"/>
          <w:bCs w:val="0"/>
          <w:kern w:val="2"/>
          <w:sz w:val="32"/>
          <w:szCs w:val="32"/>
          <w:lang w:val="en-US" w:eastAsia="zh-CN" w:bidi="ar"/>
        </w:rPr>
      </w:pPr>
      <w:r>
        <w:rPr>
          <w:rFonts w:hint="eastAsia" w:ascii="方正黑体_GBK" w:hAnsi="方正黑体_GBK" w:eastAsia="方正黑体_GBK" w:cs="方正黑体_GBK"/>
          <w:b w:val="0"/>
          <w:bCs w:val="0"/>
          <w:sz w:val="32"/>
          <w:szCs w:val="32"/>
          <w:lang w:val="en-US" w:eastAsia="zh-CN" w:bidi="ar"/>
        </w:rPr>
        <w:t>方向2：</w:t>
      </w:r>
      <w:r>
        <w:rPr>
          <w:rFonts w:hint="eastAsia" w:ascii="方正黑体_GBK" w:hAnsi="方正黑体_GBK" w:eastAsia="方正黑体_GBK" w:cs="方正黑体_GBK"/>
          <w:b w:val="0"/>
          <w:bCs w:val="0"/>
          <w:kern w:val="2"/>
          <w:sz w:val="32"/>
          <w:szCs w:val="32"/>
          <w:lang w:val="en-US" w:eastAsia="zh-CN" w:bidi="ar"/>
        </w:rPr>
        <w:t>AI原生手机银行服务模式研究</w:t>
      </w:r>
    </w:p>
    <w:p w14:paraId="30DF3EEE">
      <w:pPr>
        <w:pStyle w:val="21"/>
        <w:keepNext w:val="0"/>
        <w:keepLines w:val="0"/>
        <w:pageBreakBefore w:val="0"/>
        <w:kinsoku/>
        <w:wordWrap/>
        <w:topLinePunct w:val="0"/>
        <w:autoSpaceDE w:val="0"/>
        <w:autoSpaceDN/>
        <w:bidi w:val="0"/>
        <w:adjustRightInd/>
        <w:spacing w:after="0" w:line="560" w:lineRule="exact"/>
        <w:ind w:firstLine="640" w:firstLineChars="200"/>
        <w:textAlignment w:val="auto"/>
        <w:rPr>
          <w:rFonts w:hint="eastAsia" w:ascii="方正仿宋_GBK" w:hAnsi="方正仿宋_GBK" w:eastAsia="方正仿宋_GBK" w:cs="方正仿宋_GBK"/>
          <w:sz w:val="32"/>
          <w:szCs w:val="32"/>
          <w:lang w:val="en-US" w:eastAsia="zh-CN" w:bidi="ar"/>
        </w:rPr>
      </w:pPr>
      <w:r>
        <w:rPr>
          <w:rFonts w:hint="eastAsia" w:ascii="方正仿宋_GBK" w:hAnsi="方正仿宋_GBK" w:eastAsia="方正仿宋_GBK" w:cs="方正仿宋_GBK"/>
          <w:b w:val="0"/>
          <w:bCs w:val="0"/>
          <w:kern w:val="2"/>
          <w:sz w:val="32"/>
          <w:szCs w:val="32"/>
          <w:lang w:val="en-US" w:eastAsia="zh-CN" w:bidi="ar"/>
        </w:rPr>
        <w:t>从AI原生手机银行实践出发，初步构建从菜单驱动向意图驱动、从GUI交互向LUI+CUI混合交互的服务模式重构研究框架。一是建立金融垂域AI原生方法论，丰富数字金融信任模型。二是实现“服务找人”，建立以“任务完成率”为核心的经营指标体系和生产级验收标准，构建智能服务网络，最终形成可复制、可审计、可追责的落地方案和客户经营新基建。</w:t>
      </w:r>
    </w:p>
    <w:p w14:paraId="4A3E49E9">
      <w:pPr>
        <w:keepNext w:val="0"/>
        <w:keepLines w:val="0"/>
        <w:pageBreakBefore w:val="0"/>
        <w:numPr>
          <w:ilvl w:val="-1"/>
          <w:numId w:val="0"/>
        </w:numPr>
        <w:kinsoku/>
        <w:wordWrap/>
        <w:topLinePunct w:val="0"/>
        <w:autoSpaceDN/>
        <w:bidi w:val="0"/>
        <w:adjustRightInd/>
        <w:spacing w:line="560"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bidi="ar"/>
        </w:rPr>
        <w:t>方向3：基于集团投研平台的AI应用机制研究</w:t>
      </w:r>
    </w:p>
    <w:p w14:paraId="371F086F">
      <w:pPr>
        <w:pStyle w:val="65"/>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围绕人工智能在集团投研平台中的应用开展研究，重点研究金融大模型、知识图谱、智能体、检索增强生成、模型评测与合规治理等技术的适配路径，构建“数据—知识—模型—应用—风控”一体化框架。</w:t>
      </w:r>
      <w:r>
        <w:rPr>
          <w:rFonts w:hint="eastAsia" w:cs="方正仿宋_GBK"/>
          <w:sz w:val="32"/>
          <w:szCs w:val="32"/>
          <w:lang w:val="en-US" w:eastAsia="zh-CN"/>
        </w:rPr>
        <w:t>一是</w:t>
      </w:r>
      <w:r>
        <w:rPr>
          <w:rFonts w:hint="eastAsia" w:ascii="方正仿宋_GBK" w:hAnsi="方正仿宋_GBK" w:eastAsia="方正仿宋_GBK" w:cs="方正仿宋_GBK"/>
          <w:sz w:val="32"/>
          <w:szCs w:val="32"/>
          <w:lang w:val="en-US" w:eastAsia="zh-CN"/>
        </w:rPr>
        <w:t>形成投研问答助手、市场观点辅助生成、产品画像与组合诊断、风险预警等应用方案</w:t>
      </w:r>
      <w:r>
        <w:rPr>
          <w:rFonts w:hint="eastAsia" w:cs="方正仿宋_GBK"/>
          <w:sz w:val="32"/>
          <w:szCs w:val="32"/>
          <w:lang w:val="en-US" w:eastAsia="zh-CN"/>
        </w:rPr>
        <w:t>。二是</w:t>
      </w:r>
      <w:r>
        <w:rPr>
          <w:rFonts w:hint="eastAsia" w:ascii="方正仿宋_GBK" w:hAnsi="方正仿宋_GBK" w:eastAsia="方正仿宋_GBK" w:cs="方正仿宋_GBK"/>
          <w:sz w:val="32"/>
          <w:szCs w:val="32"/>
          <w:lang w:val="en-US" w:eastAsia="zh-CN"/>
        </w:rPr>
        <w:t>提升集团</w:t>
      </w:r>
      <w:r>
        <w:rPr>
          <w:rFonts w:hint="eastAsia" w:cs="方正仿宋_GBK"/>
          <w:sz w:val="32"/>
          <w:szCs w:val="32"/>
          <w:lang w:val="en-US" w:eastAsia="zh-CN"/>
        </w:rPr>
        <w:t>投研平台的研究</w:t>
      </w:r>
      <w:r>
        <w:rPr>
          <w:rFonts w:hint="eastAsia" w:ascii="方正仿宋_GBK" w:hAnsi="方正仿宋_GBK" w:eastAsia="方正仿宋_GBK" w:cs="方正仿宋_GBK"/>
          <w:sz w:val="32"/>
          <w:szCs w:val="32"/>
          <w:lang w:val="en-US" w:eastAsia="zh-CN"/>
        </w:rPr>
        <w:t>效率、风险识别能力和总分</w:t>
      </w:r>
      <w:r>
        <w:rPr>
          <w:rFonts w:hint="eastAsia" w:cs="方正仿宋_GBK"/>
          <w:sz w:val="32"/>
          <w:szCs w:val="32"/>
          <w:lang w:val="en-US" w:eastAsia="zh-CN"/>
        </w:rPr>
        <w:t>机构</w:t>
      </w:r>
      <w:r>
        <w:rPr>
          <w:rFonts w:hint="eastAsia" w:ascii="方正仿宋_GBK" w:hAnsi="方正仿宋_GBK" w:eastAsia="方正仿宋_GBK" w:cs="方正仿宋_GBK"/>
          <w:sz w:val="32"/>
          <w:szCs w:val="32"/>
          <w:lang w:val="en-US" w:eastAsia="zh-CN"/>
        </w:rPr>
        <w:t>协同水平。</w:t>
      </w:r>
    </w:p>
    <w:p w14:paraId="68D7CB8F">
      <w:pPr>
        <w:pStyle w:val="65"/>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7B354B65">
      <w:pPr>
        <w:pStyle w:val="62"/>
        <w:spacing w:before="0" w:beforeAutospacing="0" w:after="0" w:afterAutospacing="0" w:line="560" w:lineRule="exact"/>
        <w:ind w:firstLine="64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（二）健全科技金融服务体系路径</w:t>
      </w:r>
    </w:p>
    <w:p w14:paraId="31549942">
      <w:pPr>
        <w:pStyle w:val="65"/>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支持科技创新是</w:t>
      </w:r>
      <w:r>
        <w:rPr>
          <w:rFonts w:hint="eastAsia" w:cs="方正仿宋_GBK"/>
          <w:sz w:val="32"/>
          <w:szCs w:val="32"/>
          <w:highlight w:val="none"/>
          <w:lang w:val="en-US" w:eastAsia="zh-CN"/>
        </w:rPr>
        <w:t>银行</w:t>
      </w:r>
      <w:r>
        <w:rPr>
          <w:rFonts w:hint="eastAsia" w:ascii="方正仿宋_GBK" w:hAnsi="方正仿宋_GBK" w:eastAsia="方正仿宋_GBK" w:cs="方正仿宋_GBK"/>
          <w:sz w:val="32"/>
          <w:szCs w:val="32"/>
          <w:highlight w:val="none"/>
          <w:lang w:val="en-US" w:eastAsia="zh-CN"/>
        </w:rPr>
        <w:t>业务转型的重点方向</w:t>
      </w:r>
      <w:r>
        <w:rPr>
          <w:rFonts w:hint="eastAsia" w:cs="方正仿宋_GBK"/>
          <w:sz w:val="32"/>
          <w:szCs w:val="32"/>
          <w:highlight w:val="none"/>
          <w:lang w:val="en-US" w:eastAsia="zh-CN"/>
        </w:rPr>
        <w:t>，也面临发展难点。</w:t>
      </w:r>
      <w:r>
        <w:rPr>
          <w:rFonts w:hint="eastAsia" w:ascii="方正仿宋_GBK" w:hAnsi="方正仿宋_GBK" w:eastAsia="方正仿宋_GBK" w:cs="方正仿宋_GBK"/>
          <w:sz w:val="32"/>
          <w:szCs w:val="32"/>
          <w:highlight w:val="none"/>
          <w:lang w:val="en-US" w:eastAsia="zh-CN"/>
        </w:rPr>
        <w:t>一是</w:t>
      </w:r>
      <w:r>
        <w:rPr>
          <w:rFonts w:hint="eastAsia" w:cs="方正仿宋_GBK"/>
          <w:sz w:val="32"/>
          <w:szCs w:val="32"/>
          <w:highlight w:val="none"/>
          <w:lang w:val="en-US" w:eastAsia="zh-CN"/>
        </w:rPr>
        <w:t>行业研究方面，</w:t>
      </w:r>
      <w:r>
        <w:rPr>
          <w:rFonts w:hint="eastAsia" w:ascii="方正仿宋_GBK" w:hAnsi="方正仿宋_GBK" w:eastAsia="方正仿宋_GBK" w:cs="方正仿宋_GBK"/>
          <w:sz w:val="32"/>
          <w:szCs w:val="32"/>
          <w:highlight w:val="none"/>
          <w:lang w:val="en-US" w:eastAsia="zh-CN"/>
        </w:rPr>
        <w:t>以人工智能为代表的新兴产业呈现出技术迭代快、研发投入高、轻资产运营等显著特征，对以抵押担保的银行传统信贷模式提出了严峻挑战</w:t>
      </w:r>
      <w:r>
        <w:rPr>
          <w:rFonts w:hint="eastAsia" w:cs="方正仿宋_GBK"/>
          <w:sz w:val="32"/>
          <w:szCs w:val="32"/>
          <w:highlight w:val="none"/>
          <w:lang w:val="en-US" w:eastAsia="zh-CN"/>
        </w:rPr>
        <w:t>，并且面临着产品服务同质化严重的竞争压力。二是风险管理方面，</w:t>
      </w:r>
      <w:r>
        <w:rPr>
          <w:rFonts w:hint="eastAsia"/>
          <w:lang w:val="en-US" w:eastAsia="zh-CN"/>
        </w:rPr>
        <w:t>联动运行机制不够顺畅，信贷与股权协同力度不足，综合金融服务效能有待提升；风险隔离机制需优化，防范信贷资金与股权投资风险交叉传染隐患；审批范式需更新，传统授信评审标准难以适配科技企业技术迭代快、盈利周期长的特点；激励约束机制需统筹，信贷与股权条线人员风险偏好不一，难以充分调动业务积极性并压实风控责任。</w:t>
      </w:r>
      <w:r>
        <w:rPr>
          <w:rFonts w:hint="eastAsia" w:cs="方正仿宋_GBK"/>
          <w:sz w:val="32"/>
          <w:szCs w:val="32"/>
          <w:highlight w:val="none"/>
          <w:lang w:val="en-US" w:eastAsia="zh-CN"/>
        </w:rPr>
        <w:t>针对上述难点，确定以下重点研究方向：</w:t>
      </w:r>
    </w:p>
    <w:p w14:paraId="13088447">
      <w:pPr>
        <w:pStyle w:val="65"/>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Times New Roman"/>
          <w:sz w:val="32"/>
          <w:szCs w:val="22"/>
          <w:lang w:val="en-US" w:eastAsia="zh-CN"/>
        </w:rPr>
      </w:pPr>
      <w:r>
        <w:rPr>
          <w:rFonts w:hint="eastAsia" w:ascii="方正黑体_GBK" w:hAnsi="方正黑体_GBK" w:eastAsia="方正黑体_GBK" w:cs="方正黑体_GBK"/>
          <w:sz w:val="32"/>
          <w:szCs w:val="22"/>
          <w:lang w:val="en-US" w:eastAsia="zh-CN"/>
        </w:rPr>
        <w:t>方向4.人工智能产业趋势及商业银行差异化展业策略研究</w:t>
      </w:r>
    </w:p>
    <w:p w14:paraId="6130E0F3">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关注重点产业研究。一是聚焦人工智能产业，系统梳理技术演进路径、细分赛道格局及未来增长点，绘制产业链全景图谱。二是研发基于技术含金量、数据资产价值、产业化进度等要素的新型信用评价模型与风险定价模型。三是充分调研同业，制定支持人工智能产业发展的综合金融方案，打造研发贷、知识产权质押贷等创新信贷产品，提升金融服务精准性与产品服务竞争力。</w:t>
      </w:r>
    </w:p>
    <w:p w14:paraId="1712CC18">
      <w:pPr>
        <w:keepNext w:val="0"/>
        <w:keepLines w:val="0"/>
        <w:pageBreakBefore w:val="0"/>
        <w:kinsoku/>
        <w:wordWrap/>
        <w:topLinePunct w:val="0"/>
        <w:autoSpaceDN/>
        <w:bidi w:val="0"/>
        <w:adjustRightInd/>
        <w:snapToGrid/>
        <w:spacing w:beforeAutospacing="0" w:line="560" w:lineRule="exact"/>
        <w:ind w:firstLine="640" w:firstLineChars="20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方向5：科技型企业投贷联动风险防控的体制机制研究</w:t>
      </w:r>
    </w:p>
    <w:p w14:paraId="327874CA">
      <w:pPr>
        <w:pStyle w:val="65"/>
        <w:keepNext w:val="0"/>
        <w:keepLines w:val="0"/>
        <w:pageBreakBefore w:val="0"/>
        <w:kinsoku/>
        <w:wordWrap/>
        <w:topLinePunct w:val="0"/>
        <w:autoSpaceDN/>
        <w:bidi w:val="0"/>
        <w:adjustRightInd/>
        <w:snapToGrid w:val="0"/>
        <w:spacing w:beforeAutospacing="0" w:line="560" w:lineRule="exact"/>
        <w:ind w:firstLine="640" w:firstLineChars="200"/>
        <w:jc w:val="both"/>
        <w:textAlignment w:val="auto"/>
        <w:rPr>
          <w:rFonts w:hint="eastAsia"/>
          <w:lang w:val="en-US" w:eastAsia="zh-CN"/>
        </w:rPr>
      </w:pPr>
      <w:r>
        <w:rPr>
          <w:rFonts w:hint="eastAsia" w:ascii="方正仿宋_GBK" w:hAnsi="方正仿宋_GBK" w:eastAsia="方正仿宋_GBK" w:cs="Times New Roman"/>
          <w:lang w:val="en-US" w:eastAsia="zh-CN"/>
        </w:rPr>
        <w:t>完善风险管理机制</w:t>
      </w:r>
      <w:r>
        <w:rPr>
          <w:rFonts w:hint="eastAsia" w:cs="Times New Roman"/>
          <w:lang w:val="en-US" w:eastAsia="zh-CN"/>
        </w:rPr>
        <w:t>。</w:t>
      </w:r>
      <w:r>
        <w:rPr>
          <w:rFonts w:hint="eastAsia"/>
          <w:lang w:val="en-US" w:eastAsia="zh-CN"/>
        </w:rPr>
        <w:t>一是建立业务联动机制，厘清信贷与股权投资的合作模式，构建集团内部跨条线尽调、审查审批及贷（投）后管理架构。二是完善风险隔离与穿透管理体系，针对信贷与股权投资风险差异与传染路径，构建科技型企业全周期的风险联防联控机制。三是优化激励约束规则，构建与投贷联动风险特征匹配的激励机制，理清审批权责，健全授权和尽职免责机制。</w:t>
      </w:r>
    </w:p>
    <w:p w14:paraId="7C04F6E4">
      <w:pPr>
        <w:pStyle w:val="65"/>
        <w:keepNext w:val="0"/>
        <w:keepLines w:val="0"/>
        <w:pageBreakBefore w:val="0"/>
        <w:kinsoku/>
        <w:wordWrap/>
        <w:topLinePunct w:val="0"/>
        <w:autoSpaceDN/>
        <w:bidi w:val="0"/>
        <w:adjustRightInd/>
        <w:snapToGrid w:val="0"/>
        <w:spacing w:line="560" w:lineRule="exact"/>
        <w:ind w:firstLine="0" w:firstLineChars="0"/>
        <w:jc w:val="both"/>
        <w:textAlignment w:val="auto"/>
        <w:rPr>
          <w:rFonts w:hint="eastAsia" w:ascii="方正黑体_GBK" w:hAnsi="方正黑体_GBK" w:eastAsia="方正黑体_GBK" w:cs="方正黑体_GBK"/>
          <w:szCs w:val="32"/>
          <w:lang w:val="en-US" w:eastAsia="zh-CN"/>
        </w:rPr>
      </w:pPr>
    </w:p>
    <w:p w14:paraId="6B2FEFED">
      <w:pPr>
        <w:pStyle w:val="62"/>
        <w:spacing w:before="0" w:beforeAutospacing="0" w:after="0" w:afterAutospacing="0" w:line="560" w:lineRule="exact"/>
        <w:ind w:firstLine="64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（三）区块链技术在跨境金融领域应用</w:t>
      </w:r>
    </w:p>
    <w:p w14:paraId="6883E5A1">
      <w:pPr>
        <w:pStyle w:val="65"/>
        <w:keepNext w:val="0"/>
        <w:keepLines w:val="0"/>
        <w:pageBreakBefore w:val="0"/>
        <w:kinsoku/>
        <w:wordWrap/>
        <w:topLinePunct w:val="0"/>
        <w:autoSpaceDN/>
        <w:bidi w:val="0"/>
        <w:adjustRightInd/>
        <w:snapToGrid w:val="0"/>
        <w:spacing w:line="560" w:lineRule="exact"/>
        <w:ind w:firstLine="640" w:firstLineChars="200"/>
        <w:jc w:val="both"/>
        <w:textAlignment w:val="auto"/>
        <w:rPr>
          <w:rFonts w:hint="eastAsia" w:ascii="方正仿宋_GBK" w:hAnsi="方正仿宋_GBK" w:eastAsia="方正仿宋_GBK" w:cs="方正仿宋_GBK"/>
          <w:szCs w:val="32"/>
          <w:lang w:val="en-US" w:eastAsia="zh-CN"/>
        </w:rPr>
      </w:pPr>
      <w:r>
        <w:rPr>
          <w:rFonts w:hint="eastAsia" w:ascii="方正仿宋_GBK" w:hAnsi="方正仿宋_GBK" w:eastAsia="方正仿宋_GBK" w:cs="Times New Roman"/>
          <w:szCs w:val="22"/>
          <w:lang w:val="en-US" w:eastAsia="zh-CN"/>
        </w:rPr>
        <w:t>区块链</w:t>
      </w:r>
      <w:r>
        <w:rPr>
          <w:rFonts w:hint="eastAsia" w:cs="Times New Roman"/>
          <w:szCs w:val="22"/>
          <w:lang w:val="en-US" w:eastAsia="zh-CN"/>
        </w:rPr>
        <w:t>技术在金融领域的应用不断深化，为供应链金融、支付情况等方面提供了全新的解决方案</w:t>
      </w:r>
      <w:r>
        <w:rPr>
          <w:rFonts w:hint="eastAsia" w:cs="方正仿宋_GBK"/>
          <w:b w:val="0"/>
          <w:bCs w:val="0"/>
          <w:sz w:val="32"/>
          <w:szCs w:val="32"/>
          <w:lang w:val="en-US" w:eastAsia="zh-CN"/>
        </w:rPr>
        <w:t>。一是</w:t>
      </w:r>
      <w:r>
        <w:rPr>
          <w:rFonts w:hint="eastAsia" w:ascii="方正仿宋_GBK" w:hAnsi="方正仿宋_GBK" w:eastAsia="方正仿宋_GBK" w:cs="方正仿宋_GBK"/>
          <w:b w:val="0"/>
          <w:bCs w:val="0"/>
          <w:sz w:val="32"/>
          <w:szCs w:val="32"/>
          <w:lang w:val="en-US" w:eastAsia="zh-CN"/>
        </w:rPr>
        <w:t>跨境贸易数字化转型提速，物流运输、报关通关、订单履约等供应链全链条主体沉淀了可溯源、可核验的业务数据，为破解银企信息不对称、贸易真实性核验难等提供核心数据支撑。二是数币场景创新与试点建设</w:t>
      </w:r>
      <w:r>
        <w:rPr>
          <w:rFonts w:hint="eastAsia" w:cs="方正仿宋_GBK"/>
          <w:b w:val="0"/>
          <w:bCs w:val="0"/>
          <w:sz w:val="32"/>
          <w:szCs w:val="32"/>
          <w:lang w:val="en-US" w:eastAsia="zh-CN"/>
        </w:rPr>
        <w:t>，</w:t>
      </w:r>
      <w:r>
        <w:rPr>
          <w:rFonts w:hint="eastAsia" w:ascii="方正仿宋_GBK" w:hAnsi="方正仿宋_GBK" w:eastAsia="方正仿宋_GBK" w:cs="方正仿宋_GBK"/>
          <w:b w:val="0"/>
          <w:bCs w:val="0"/>
          <w:sz w:val="32"/>
          <w:szCs w:val="32"/>
          <w:lang w:val="en-US" w:eastAsia="zh-CN"/>
        </w:rPr>
        <w:t>用于解决应用场景零散、产品体系缺乏统一标准、商业化收益难以量化、成熟模式难以规模化复制等突出问题</w:t>
      </w:r>
      <w:r>
        <w:rPr>
          <w:rFonts w:hint="eastAsia" w:cs="方正仿宋_GBK"/>
          <w:b w:val="0"/>
          <w:bCs w:val="0"/>
          <w:sz w:val="32"/>
          <w:szCs w:val="32"/>
          <w:lang w:val="en-US" w:eastAsia="zh-CN"/>
        </w:rPr>
        <w:t>，</w:t>
      </w:r>
      <w:r>
        <w:rPr>
          <w:rFonts w:hint="eastAsia" w:ascii="方正仿宋_GBK" w:hAnsi="方正仿宋_GBK" w:eastAsia="方正仿宋_GBK" w:cs="方正仿宋_GBK"/>
          <w:b w:val="0"/>
          <w:bCs w:val="0"/>
          <w:sz w:val="32"/>
          <w:szCs w:val="32"/>
          <w:lang w:val="en-US" w:eastAsia="zh-CN"/>
        </w:rPr>
        <w:t>在跨境业务领域，落地货币桥跨境贸易结算、沪澳跨境标杆业务；在对公与普惠领域，初步建成数字人民币智能合约体系，覆盖智能代发、智能信贷与委托收款、智能补贴、预付费监管四大场景。</w:t>
      </w:r>
      <w:r>
        <w:rPr>
          <w:rFonts w:hint="eastAsia" w:cs="方正仿宋_GBK"/>
          <w:b w:val="0"/>
          <w:bCs w:val="0"/>
          <w:sz w:val="32"/>
          <w:szCs w:val="32"/>
          <w:lang w:val="en-US" w:eastAsia="zh-CN"/>
        </w:rPr>
        <w:t>结合上述应用，确定</w:t>
      </w:r>
      <w:r>
        <w:rPr>
          <w:rFonts w:hint="eastAsia" w:cs="方正仿宋_GBK"/>
          <w:szCs w:val="32"/>
          <w:lang w:val="en-US" w:eastAsia="zh-CN"/>
        </w:rPr>
        <w:t>以下重点研究方向：</w:t>
      </w:r>
    </w:p>
    <w:p w14:paraId="171A4103">
      <w:pPr>
        <w:pStyle w:val="65"/>
        <w:spacing w:line="560" w:lineRule="exact"/>
        <w:rPr>
          <w:rFonts w:hint="eastAsia" w:ascii="方正仿宋_GBK" w:hAnsi="方正仿宋_GBK" w:eastAsia="方正仿宋_GBK" w:cs="方正仿宋_GBK"/>
          <w:b w:val="0"/>
          <w:bCs w:val="0"/>
          <w:sz w:val="32"/>
          <w:szCs w:val="32"/>
          <w:lang w:val="en-US" w:eastAsia="zh-CN"/>
        </w:rPr>
      </w:pPr>
      <w:r>
        <w:rPr>
          <w:rFonts w:hint="eastAsia" w:ascii="方正黑体_GBK" w:hAnsi="方正黑体_GBK" w:eastAsia="方正黑体_GBK" w:cs="方正黑体_GBK"/>
          <w:szCs w:val="32"/>
          <w:lang w:val="en-US" w:eastAsia="zh-CN"/>
        </w:rPr>
        <w:t>方向6.</w:t>
      </w:r>
      <w:r>
        <w:rPr>
          <w:rFonts w:hint="eastAsia" w:ascii="方正黑体_GBK" w:hAnsi="方正黑体_GBK" w:eastAsia="方正黑体_GBK" w:cs="方正黑体_GBK"/>
          <w:b w:val="0"/>
          <w:bCs w:val="0"/>
          <w:sz w:val="32"/>
          <w:szCs w:val="32"/>
          <w:lang w:val="en-US" w:eastAsia="zh-CN"/>
        </w:rPr>
        <w:t>跨境贸易可信数据赋能银行金融服务创新研究</w:t>
      </w:r>
    </w:p>
    <w:p w14:paraId="215CE8A3">
      <w:pPr>
        <w:keepNext w:val="0"/>
        <w:keepLines w:val="0"/>
        <w:pageBreakBefore w:val="0"/>
        <w:numPr>
          <w:ilvl w:val="0"/>
          <w:numId w:val="0"/>
        </w:numPr>
        <w:kinsoku/>
        <w:wordWrap/>
        <w:topLinePunct w:val="0"/>
        <w:autoSpaceDN/>
        <w:bidi w:val="0"/>
        <w:adjustRightInd/>
        <w:snapToGrid w:val="0"/>
        <w:spacing w:beforeAutospacing="0" w:line="560" w:lineRule="exact"/>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有效提升银行服务外贸中小微企业质效，拓宽跨境金融服务覆盖面。一是聚焦物流与供应链可信第三方数据的金融应用价值，探索构建标准化、可落地的“数据增信+金融服务”创新模式。二是依托合规可信的供应链数据，优化贸易真实性核查、客户尽职调查、风险管控全流程。三是明确可信数据应用的技术路径、业务模式与风险治理体系，形成适配商业银行的落地实施方案。</w:t>
      </w:r>
    </w:p>
    <w:p w14:paraId="18200B1E">
      <w:pPr>
        <w:keepNext w:val="0"/>
        <w:keepLines w:val="0"/>
        <w:pageBreakBefore w:val="0"/>
        <w:numPr>
          <w:ilvl w:val="0"/>
          <w:numId w:val="0"/>
        </w:numPr>
        <w:kinsoku/>
        <w:wordWrap/>
        <w:topLinePunct w:val="0"/>
        <w:autoSpaceDN/>
        <w:bidi w:val="0"/>
        <w:adjustRightInd/>
        <w:snapToGrid w:val="0"/>
        <w:spacing w:beforeAutospacing="0" w:line="560" w:lineRule="exact"/>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lang w:val="en-US" w:eastAsia="zh-CN"/>
        </w:rPr>
        <w:t>方向7：数字人民币结合区块链技术的场景落地与商业化价值研究</w:t>
      </w:r>
    </w:p>
    <w:p w14:paraId="5EA8AB5C">
      <w:pPr>
        <w:keepNext w:val="0"/>
        <w:keepLines w:val="0"/>
        <w:pageBreakBefore w:val="0"/>
        <w:kinsoku/>
        <w:wordWrap/>
        <w:topLinePunct w:val="0"/>
        <w:autoSpaceDN/>
        <w:bidi w:val="0"/>
        <w:adjustRightInd/>
        <w:snapToGrid w:val="0"/>
        <w:spacing w:line="560" w:lineRule="exact"/>
        <w:ind w:firstLine="640" w:firstLineChars="200"/>
        <w:jc w:val="both"/>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依托区块链可信确权与存证能力实现资金全流程闭环管控。一是理论方面，搭建区块链+数币全场景价值评估、商业化定价与风险计量模型，完善数字货币商业化落地理论框架。二是实践方面，优化跨行业、跨区域适配规则，梳理对公普惠、跨境结算、民生零售三类落地实施标准，落地标杆项目并量化客户降本、存款沉淀与中间业务收益，研究成果用于全行规模化拓客落地。</w:t>
      </w:r>
    </w:p>
    <w:p w14:paraId="4E79E6F8">
      <w:pPr>
        <w:pStyle w:val="2"/>
        <w:spacing w:after="0" w:line="560" w:lineRule="exact"/>
        <w:rPr>
          <w:rFonts w:hint="eastAsia"/>
          <w:lang w:val="en-US" w:eastAsia="zh-CN"/>
        </w:rPr>
      </w:pPr>
    </w:p>
    <w:p w14:paraId="7F76653D">
      <w:pPr>
        <w:pStyle w:val="62"/>
        <w:spacing w:before="0" w:beforeAutospacing="0" w:after="0" w:afterAutospacing="0" w:line="560" w:lineRule="exact"/>
        <w:ind w:firstLine="640" w:firstLineChars="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（四）商业银行资产组合转型</w:t>
      </w:r>
    </w:p>
    <w:p w14:paraId="761D5CB2">
      <w:pPr>
        <w:keepNext w:val="0"/>
        <w:keepLines w:val="0"/>
        <w:pageBreakBefore w:val="0"/>
        <w:kinsoku/>
        <w:wordWrap/>
        <w:topLinePunct w:val="0"/>
        <w:autoSpaceDN/>
        <w:bidi w:val="0"/>
        <w:adjustRightInd/>
        <w:spacing w:line="560" w:lineRule="exact"/>
        <w:ind w:firstLine="640" w:firstLineChars="200"/>
        <w:textAlignment w:val="auto"/>
        <w:rPr>
          <w:rFonts w:hint="default" w:ascii="方正仿宋_GBK" w:hAnsi="方正仿宋_GBK" w:eastAsia="方正仿宋_GBK" w:cs="方正仿宋_GBK"/>
          <w:color w:val="000000"/>
          <w:sz w:val="32"/>
          <w:szCs w:val="32"/>
          <w:highlight w:val="none"/>
          <w:shd w:val="clear" w:fill="FFFFFF"/>
          <w:lang w:val="en-US" w:eastAsia="zh-CN"/>
        </w:rPr>
      </w:pPr>
      <w:r>
        <w:rPr>
          <w:rFonts w:hint="eastAsia" w:ascii="方正仿宋_GBK" w:hAnsi="方正仿宋_GBK" w:eastAsia="方正仿宋_GBK" w:cs="方正仿宋_GBK"/>
          <w:b w:val="0"/>
          <w:bCs w:val="0"/>
          <w:kern w:val="2"/>
          <w:sz w:val="32"/>
          <w:szCs w:val="32"/>
          <w:highlight w:val="none"/>
          <w:lang w:val="en-US" w:eastAsia="zh-CN" w:bidi="ar-SA"/>
        </w:rPr>
        <w:t>全球应对气候变化进程持续加速，我国“双碳”战略纵深推进，金融机构正在有序推动资产组合绿色低碳转型。</w:t>
      </w:r>
      <w:r>
        <w:rPr>
          <w:rFonts w:hint="eastAsia" w:ascii="方正仿宋_GBK" w:hAnsi="方正仿宋_GBK" w:eastAsia="方正仿宋_GBK" w:cs="方正仿宋_GBK"/>
          <w:i w:val="0"/>
          <w:iCs w:val="0"/>
          <w:caps w:val="0"/>
          <w:spacing w:val="0"/>
          <w:sz w:val="32"/>
          <w:szCs w:val="32"/>
          <w:shd w:val="clear"/>
          <w:lang w:val="en-US" w:eastAsia="zh-CN"/>
        </w:rPr>
        <w:t>国家“双碳”目标明确了2030年前碳达峰、2060年前实现碳中和的时间表，金融机构资产组合层面的低碳转型已从前瞻性议题走向实质性推进阶段。</w:t>
      </w:r>
      <w:r>
        <w:rPr>
          <w:rFonts w:hint="eastAsia" w:ascii="方正仿宋_GBK" w:hAnsi="方正仿宋_GBK" w:eastAsia="方正仿宋_GBK" w:cs="方正仿宋_GBK"/>
          <w:b w:val="0"/>
          <w:bCs w:val="0"/>
          <w:kern w:val="2"/>
          <w:sz w:val="32"/>
          <w:szCs w:val="32"/>
          <w:highlight w:val="none"/>
          <w:lang w:val="en-US" w:eastAsia="zh-CN" w:bidi="ar-SA"/>
        </w:rPr>
        <w:t>人民银行已出台金融机构碳核算相关试行文件，对重点高碳行业的碳排放计量提出了明确规范。目前，在商业银行资产组合转型研究方面，亟需解决以下两个问题：一是碳排放计量方面，银行碳底数仍不够清晰，碳计量尚未实现对全部行业、全部信贷客户的全面覆盖，非上市公司数据可得性较低；二是</w:t>
      </w:r>
      <w:r>
        <w:rPr>
          <w:rFonts w:hint="eastAsia" w:ascii="方正仿宋_GBK" w:hAnsi="方正仿宋_GBK" w:eastAsia="方正仿宋_GBK" w:cs="方正仿宋_GBK"/>
          <w:i w:val="0"/>
          <w:iCs w:val="0"/>
          <w:caps w:val="0"/>
          <w:spacing w:val="0"/>
          <w:kern w:val="2"/>
          <w:sz w:val="32"/>
          <w:szCs w:val="32"/>
          <w:highlight w:val="none"/>
          <w:shd w:val="clear"/>
          <w:lang w:val="en-US" w:eastAsia="zh-CN" w:bidi="ar-SA"/>
        </w:rPr>
        <w:t>策略研究方面，</w:t>
      </w:r>
      <w:r>
        <w:rPr>
          <w:rFonts w:hint="eastAsia" w:ascii="方正仿宋_GBK" w:hAnsi="方正仿宋_GBK" w:eastAsia="方正仿宋_GBK" w:cs="方正仿宋_GBK"/>
          <w:i w:val="0"/>
          <w:iCs w:val="0"/>
          <w:caps w:val="0"/>
          <w:color w:val="000000"/>
          <w:spacing w:val="0"/>
          <w:sz w:val="32"/>
          <w:szCs w:val="32"/>
          <w:highlight w:val="none"/>
          <w:shd w:val="clear" w:fill="FFFFFF"/>
          <w:lang w:val="en-US" w:eastAsia="zh-CN"/>
        </w:rPr>
        <w:t>银行在资产组合层面的碳中和实施路径尚不清晰。</w:t>
      </w:r>
      <w:r>
        <w:rPr>
          <w:rFonts w:hint="eastAsia" w:ascii="方正仿宋_GBK" w:hAnsi="方正仿宋_GBK" w:eastAsia="方正仿宋_GBK" w:cs="方正仿宋_GBK"/>
          <w:sz w:val="32"/>
          <w:szCs w:val="32"/>
          <w:lang w:val="en-US" w:eastAsia="zh-CN"/>
        </w:rPr>
        <w:t>针对上述问题，确定以下重点研究方向：</w:t>
      </w:r>
    </w:p>
    <w:p w14:paraId="3A3A8E02">
      <w:pPr>
        <w:pStyle w:val="2"/>
        <w:widowControl w:val="0"/>
        <w:spacing w:after="0" w:line="560" w:lineRule="exact"/>
        <w:rPr>
          <w:rFonts w:hint="eastAsia" w:ascii="方正仿宋_GBK" w:hAnsi="方正仿宋_GBK" w:eastAsia="方正仿宋_GBK" w:cs="方正仿宋_GBK"/>
          <w:i w:val="0"/>
          <w:iCs w:val="0"/>
          <w:caps w:val="0"/>
          <w:spacing w:val="0"/>
          <w:kern w:val="2"/>
          <w:sz w:val="32"/>
          <w:szCs w:val="32"/>
          <w:highlight w:val="none"/>
          <w:shd w:val="clear"/>
          <w:lang w:val="en-US" w:eastAsia="zh-CN" w:bidi="ar-SA"/>
        </w:rPr>
      </w:pPr>
      <w:r>
        <w:rPr>
          <w:rFonts w:hint="eastAsia" w:ascii="方正仿宋_GBK" w:hAnsi="方正仿宋_GBK" w:eastAsia="方正仿宋_GBK" w:cs="方正仿宋_GBK"/>
          <w:b w:val="0"/>
          <w:bCs w:val="0"/>
          <w:sz w:val="32"/>
          <w:szCs w:val="32"/>
          <w:highlight w:val="none"/>
          <w:lang w:val="en-US" w:eastAsia="zh-CN"/>
        </w:rPr>
        <w:t xml:space="preserve">    </w:t>
      </w:r>
      <w:r>
        <w:rPr>
          <w:rFonts w:hint="eastAsia" w:ascii="方正黑体_GBK" w:hAnsi="方正黑体_GBK" w:eastAsia="方正黑体_GBK" w:cs="方正黑体_GBK"/>
          <w:b w:val="0"/>
          <w:bCs w:val="0"/>
          <w:sz w:val="32"/>
          <w:szCs w:val="32"/>
          <w:highlight w:val="none"/>
          <w:lang w:val="en-US" w:eastAsia="zh-CN"/>
        </w:rPr>
        <w:t>方向8.</w:t>
      </w:r>
      <w:r>
        <w:rPr>
          <w:rFonts w:hint="eastAsia" w:ascii="方正黑体_GBK" w:hAnsi="方正黑体_GBK" w:eastAsia="方正黑体_GBK" w:cs="方正黑体_GBK"/>
          <w:i w:val="0"/>
          <w:iCs w:val="0"/>
          <w:caps w:val="0"/>
          <w:spacing w:val="0"/>
          <w:kern w:val="2"/>
          <w:sz w:val="32"/>
          <w:szCs w:val="32"/>
          <w:highlight w:val="none"/>
          <w:shd w:val="clear"/>
          <w:lang w:val="en-US" w:eastAsia="zh-CN" w:bidi="ar-SA"/>
        </w:rPr>
        <w:t>商业银行资产组合碳排放量计量研究</w:t>
      </w:r>
    </w:p>
    <w:p w14:paraId="32F4C48C">
      <w:pPr>
        <w:pStyle w:val="33"/>
        <w:spacing w:line="560" w:lineRule="exact"/>
        <w:ind w:firstLine="640" w:firstLineChars="20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b w:val="0"/>
          <w:bCs w:val="0"/>
          <w:kern w:val="2"/>
          <w:sz w:val="32"/>
          <w:szCs w:val="32"/>
          <w:highlight w:val="none"/>
          <w:lang w:val="en-US" w:eastAsia="zh-CN" w:bidi="ar-SA"/>
        </w:rPr>
        <w:t>为银行高质量完成资产组合碳计量提供系统性的解决方案。根据已发布的计量标准，重点研究碳核算覆盖范围从重点高碳行业向全资产组合的拓展路径、不同行业碳排放数据的获取与质量管控方法，切实摸清碳底数，为“十五五”时期商业银行提升碳数据的数据质量和覆盖面、进一步强化转型业务发展与风险管理夯实数据基础。</w:t>
      </w:r>
    </w:p>
    <w:p w14:paraId="3E366BF3">
      <w:pPr>
        <w:pStyle w:val="19"/>
        <w:keepNext w:val="0"/>
        <w:keepLines w:val="0"/>
        <w:pageBreakBefore w:val="0"/>
        <w:widowControl/>
        <w:suppressLineNumbers w:val="0"/>
        <w:shd w:val="clear"/>
        <w:kinsoku/>
        <w:wordWrap/>
        <w:topLinePunct w:val="0"/>
        <w:autoSpaceDN/>
        <w:bidi w:val="0"/>
        <w:adjustRightInd/>
        <w:spacing w:before="0" w:beforeAutospacing="0" w:after="0" w:afterAutospacing="0" w:line="560" w:lineRule="exact"/>
        <w:ind w:left="0" w:right="0" w:firstLine="640" w:firstLineChars="200"/>
        <w:jc w:val="both"/>
        <w:textAlignment w:val="auto"/>
        <w:rPr>
          <w:rFonts w:hint="eastAsia" w:ascii="方正仿宋_GBK" w:hAnsi="方正仿宋_GBK" w:eastAsia="方正仿宋_GBK" w:cs="方正仿宋_GBK"/>
          <w:i w:val="0"/>
          <w:iCs w:val="0"/>
          <w:caps w:val="0"/>
          <w:color w:val="auto"/>
          <w:spacing w:val="0"/>
          <w:kern w:val="2"/>
          <w:sz w:val="32"/>
          <w:szCs w:val="32"/>
          <w:highlight w:val="none"/>
          <w:shd w:val="clear" w:fill="auto"/>
          <w:lang w:val="en-US" w:eastAsia="zh-CN" w:bidi="ar"/>
        </w:rPr>
      </w:pPr>
      <w:r>
        <w:rPr>
          <w:rFonts w:hint="eastAsia" w:ascii="方正黑体_GBK" w:hAnsi="方正黑体_GBK" w:eastAsia="方正黑体_GBK" w:cs="方正黑体_GBK"/>
          <w:i w:val="0"/>
          <w:iCs w:val="0"/>
          <w:caps w:val="0"/>
          <w:color w:val="000000"/>
          <w:spacing w:val="0"/>
          <w:kern w:val="0"/>
          <w:sz w:val="32"/>
          <w:szCs w:val="32"/>
          <w:highlight w:val="none"/>
          <w:shd w:val="clear" w:fill="FFFFFF"/>
          <w:lang w:val="en-US" w:eastAsia="zh-CN" w:bidi="ar"/>
        </w:rPr>
        <w:t>方向9.</w:t>
      </w:r>
      <w:r>
        <w:rPr>
          <w:rFonts w:hint="eastAsia" w:ascii="方正黑体_GBK" w:hAnsi="方正黑体_GBK" w:eastAsia="方正黑体_GBK" w:cs="方正黑体_GBK"/>
          <w:i w:val="0"/>
          <w:iCs w:val="0"/>
          <w:caps w:val="0"/>
          <w:color w:val="auto"/>
          <w:spacing w:val="0"/>
          <w:kern w:val="2"/>
          <w:sz w:val="32"/>
          <w:szCs w:val="32"/>
          <w:highlight w:val="none"/>
          <w:shd w:val="clear" w:fill="auto"/>
          <w:lang w:val="en-US" w:eastAsia="zh-CN" w:bidi="ar"/>
        </w:rPr>
        <w:t>商业银行资产组合碳中和路线图与业务策略研究</w:t>
      </w:r>
    </w:p>
    <w:p w14:paraId="54A530EE">
      <w:pPr>
        <w:pStyle w:val="19"/>
        <w:keepNext w:val="0"/>
        <w:keepLines w:val="0"/>
        <w:pageBreakBefore w:val="0"/>
        <w:widowControl/>
        <w:suppressLineNumbers w:val="0"/>
        <w:shd w:val="clear"/>
        <w:kinsoku/>
        <w:wordWrap/>
        <w:topLinePunct w:val="0"/>
        <w:autoSpaceDN/>
        <w:bidi w:val="0"/>
        <w:adjustRightInd/>
        <w:spacing w:before="0" w:beforeAutospacing="0" w:after="0" w:afterAutospacing="0" w:line="560" w:lineRule="exact"/>
        <w:ind w:left="0" w:right="0" w:firstLine="640" w:firstLineChars="200"/>
        <w:jc w:val="both"/>
        <w:textAlignment w:val="auto"/>
        <w:rPr>
          <w:rFonts w:hint="eastAsia" w:ascii="方正黑体_GBK" w:hAnsi="方正黑体_GBK" w:eastAsia="方正黑体_GBK" w:cs="方正黑体_GBK"/>
          <w:color w:val="000000"/>
          <w:sz w:val="32"/>
          <w:szCs w:val="32"/>
          <w:highlight w:val="none"/>
          <w:lang w:val="en-US" w:eastAsia="zh-CN"/>
        </w:rPr>
      </w:pPr>
      <w:r>
        <w:rPr>
          <w:rFonts w:hint="eastAsia" w:ascii="方正仿宋_GBK" w:hAnsi="方正仿宋_GBK" w:eastAsia="方正仿宋_GBK" w:cs="方正仿宋_GBK"/>
          <w:i w:val="0"/>
          <w:iCs w:val="0"/>
          <w:caps w:val="0"/>
          <w:color w:val="000000"/>
          <w:spacing w:val="0"/>
          <w:sz w:val="32"/>
          <w:szCs w:val="32"/>
          <w:highlight w:val="none"/>
          <w:shd w:val="clear" w:fill="FFFFFF"/>
          <w:lang w:val="en-US" w:eastAsia="zh-CN"/>
        </w:rPr>
        <w:t>制定明确的资产组合低碳转型定量指标与完成时间节点，特别是结合高碳行业资产组合如何根据各行业技术成熟度、排放特征和转型条件，在碳达峰、碳中和两个关键时间节点上有序推进低碳转型，制定系统性的定量安排，提出主要高碳行业资产组合的差异化降碳路径，形成具备可操作性的集团资产组合碳中和实施路线图。</w:t>
      </w:r>
      <w:r>
        <w:rPr>
          <w:rFonts w:hint="eastAsia" w:ascii="方正仿宋_GBK" w:hAnsi="方正仿宋_GBK" w:eastAsia="方正仿宋_GBK" w:cs="方正仿宋_GBK"/>
          <w:i w:val="0"/>
          <w:iCs w:val="0"/>
          <w:caps w:val="0"/>
          <w:color w:val="000000"/>
          <w:spacing w:val="0"/>
          <w:kern w:val="0"/>
          <w:sz w:val="32"/>
          <w:szCs w:val="32"/>
          <w:highlight w:val="none"/>
          <w:shd w:val="clear" w:fill="FFFFFF"/>
          <w:lang w:val="en-US" w:eastAsia="zh-CN" w:bidi="ar"/>
        </w:rPr>
        <w:t xml:space="preserve"> </w:t>
      </w:r>
    </w:p>
    <w:sectPr>
      <w:headerReference r:id="rId5" w:type="first"/>
      <w:headerReference r:id="rId3" w:type="default"/>
      <w:footerReference r:id="rId6" w:type="default"/>
      <w:headerReference r:id="rId4" w:type="even"/>
      <w:pgSz w:w="11906" w:h="16838"/>
      <w:pgMar w:top="2127" w:right="1416" w:bottom="1702" w:left="1560" w:header="1701" w:footer="1418"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C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_GB2312">
    <w:altName w:val="微软雅黑"/>
    <w:panose1 w:val="00000000000000000000"/>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7037D">
    <w:pPr>
      <w:pStyle w:val="14"/>
    </w:pPr>
    <w:r>
      <w:drawing>
        <wp:anchor distT="0" distB="0" distL="114300" distR="114300" simplePos="0" relativeHeight="251659264" behindDoc="1" locked="0" layoutInCell="1" allowOverlap="1">
          <wp:simplePos x="0" y="0"/>
          <wp:positionH relativeFrom="page">
            <wp:posOffset>38735</wp:posOffset>
          </wp:positionH>
          <wp:positionV relativeFrom="paragraph">
            <wp:posOffset>-161925</wp:posOffset>
          </wp:positionV>
          <wp:extent cx="7559675" cy="425450"/>
          <wp:effectExtent l="0" t="0" r="0" b="0"/>
          <wp:wrapNone/>
          <wp:docPr id="1694503697" name="图片 1694503697" descr="D:\1-2021发研部\1.1 《新金融》工作\排版、校对信息库\20211121《新金融》编辑部信笺纸-页脚.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03697" name="图片 1694503697" descr="D:\1-2021发研部\1.1 《新金融》工作\排版、校对信息库\20211121《新金融》编辑部信笺纸-页脚.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7559513" cy="425441"/>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BA7D1">
    <w:pPr>
      <w:pStyle w:val="15"/>
    </w:pPr>
    <w:r>
      <w:rPr>
        <w:rFonts w:hint="eastAsia" w:ascii="方正小标宋简体" w:hAnsi="方正小标宋_GBK" w:eastAsia="方正小标宋简体" w:cs="方正小标宋_GBK"/>
        <w:sz w:val="44"/>
        <w:szCs w:val="44"/>
        <w:lang w:val="zh-CN"/>
      </w:rPr>
      <w:drawing>
        <wp:anchor distT="0" distB="0" distL="114300" distR="114300" simplePos="0" relativeHeight="251663360" behindDoc="0" locked="0" layoutInCell="1" allowOverlap="1">
          <wp:simplePos x="0" y="0"/>
          <wp:positionH relativeFrom="margin">
            <wp:posOffset>-513080</wp:posOffset>
          </wp:positionH>
          <wp:positionV relativeFrom="paragraph">
            <wp:posOffset>-435610</wp:posOffset>
          </wp:positionV>
          <wp:extent cx="6584950" cy="764540"/>
          <wp:effectExtent l="0" t="0" r="6350" b="10160"/>
          <wp:wrapNone/>
          <wp:docPr id="1014818987" name="图片 101481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18987" name="图片 101481898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584950" cy="764540"/>
                  </a:xfrm>
                  <a:prstGeom prst="rect">
                    <a:avLst/>
                  </a:prstGeom>
                </pic:spPr>
              </pic:pic>
            </a:graphicData>
          </a:graphic>
        </wp:anchor>
      </w:drawing>
    </w:r>
    <w:r>
      <w:pict>
        <v:shape id="WordPictureWatermark1486942204" o:spid="_x0000_s1037" o:spt="75" type="#_x0000_t75" style="position:absolute;left:0pt;height:241.7pt;width:436.4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2" o:title="20211121《新金融》编辑部信笺纸-火车头水印"/>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F7FDC">
    <w:pPr>
      <w:pStyle w:val="15"/>
    </w:pPr>
    <w:r>
      <w:pict>
        <v:shape id="WordPictureWatermark1486942203" o:spid="_x0000_s1036" o:spt="75" type="#_x0000_t75" style="position:absolute;left:0pt;height:241.7pt;width:436.4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20211121《新金融》编辑部信笺纸-火车头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CB0F9">
    <w:pPr>
      <w:pStyle w:val="15"/>
    </w:pPr>
    <w:r>
      <w:pict>
        <v:shape id="WordPictureWatermark1486942202" o:spid="_x0000_s1035" o:spt="75" type="#_x0000_t75" style="position:absolute;left:0pt;height:241.7pt;width:436.4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o:title="20211121《新金融》编辑部信笺纸-火车头水印"/>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973220"/>
    <w:multiLevelType w:val="singleLevel"/>
    <w:tmpl w:val="B1973220"/>
    <w:lvl w:ilvl="0" w:tentative="0">
      <w:start w:val="2"/>
      <w:numFmt w:val="chineseCounting"/>
      <w:suff w:val="nothing"/>
      <w:lvlText w:val="%1、"/>
      <w:lvlJc w:val="left"/>
      <w:rPr>
        <w:rFonts w:hint="eastAsia"/>
      </w:rPr>
    </w:lvl>
  </w:abstractNum>
  <w:abstractNum w:abstractNumId="1">
    <w:nsid w:val="7B06E739"/>
    <w:multiLevelType w:val="singleLevel"/>
    <w:tmpl w:val="7B06E7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AD"/>
    <w:rsid w:val="0000569C"/>
    <w:rsid w:val="00020DB8"/>
    <w:rsid w:val="00020ECC"/>
    <w:rsid w:val="00031964"/>
    <w:rsid w:val="00032B69"/>
    <w:rsid w:val="00040719"/>
    <w:rsid w:val="0004293E"/>
    <w:rsid w:val="00043B1C"/>
    <w:rsid w:val="00045259"/>
    <w:rsid w:val="000545C0"/>
    <w:rsid w:val="00077658"/>
    <w:rsid w:val="000934C7"/>
    <w:rsid w:val="0009502F"/>
    <w:rsid w:val="000958B3"/>
    <w:rsid w:val="000A2BD8"/>
    <w:rsid w:val="000A7600"/>
    <w:rsid w:val="000B1B52"/>
    <w:rsid w:val="000B2827"/>
    <w:rsid w:val="000B5EEB"/>
    <w:rsid w:val="000B6446"/>
    <w:rsid w:val="000D2BF8"/>
    <w:rsid w:val="000E215B"/>
    <w:rsid w:val="000E3D70"/>
    <w:rsid w:val="00100EB8"/>
    <w:rsid w:val="00101DB1"/>
    <w:rsid w:val="001065B3"/>
    <w:rsid w:val="001324AA"/>
    <w:rsid w:val="0014373E"/>
    <w:rsid w:val="00145856"/>
    <w:rsid w:val="00146D69"/>
    <w:rsid w:val="001476E7"/>
    <w:rsid w:val="00156BA7"/>
    <w:rsid w:val="00163ADE"/>
    <w:rsid w:val="00166AF2"/>
    <w:rsid w:val="00166FBE"/>
    <w:rsid w:val="00171F9B"/>
    <w:rsid w:val="00195ABB"/>
    <w:rsid w:val="001A0846"/>
    <w:rsid w:val="001A72FD"/>
    <w:rsid w:val="001C01E8"/>
    <w:rsid w:val="001C68F5"/>
    <w:rsid w:val="001D72B1"/>
    <w:rsid w:val="001E0BB8"/>
    <w:rsid w:val="001E2B6D"/>
    <w:rsid w:val="001E3FD0"/>
    <w:rsid w:val="001E763D"/>
    <w:rsid w:val="001F5C31"/>
    <w:rsid w:val="001F74EF"/>
    <w:rsid w:val="002069BC"/>
    <w:rsid w:val="00216222"/>
    <w:rsid w:val="002322A1"/>
    <w:rsid w:val="00232ACA"/>
    <w:rsid w:val="00235D66"/>
    <w:rsid w:val="00235FAF"/>
    <w:rsid w:val="00236C7F"/>
    <w:rsid w:val="00241C48"/>
    <w:rsid w:val="002446F0"/>
    <w:rsid w:val="00251915"/>
    <w:rsid w:val="00256389"/>
    <w:rsid w:val="0025654D"/>
    <w:rsid w:val="002651F8"/>
    <w:rsid w:val="00272939"/>
    <w:rsid w:val="00273F8A"/>
    <w:rsid w:val="002744BD"/>
    <w:rsid w:val="00282F9C"/>
    <w:rsid w:val="002832F0"/>
    <w:rsid w:val="002971F0"/>
    <w:rsid w:val="002A7EA9"/>
    <w:rsid w:val="002B0C9C"/>
    <w:rsid w:val="002B1944"/>
    <w:rsid w:val="002B3048"/>
    <w:rsid w:val="002B4683"/>
    <w:rsid w:val="002D4ACF"/>
    <w:rsid w:val="002E3830"/>
    <w:rsid w:val="002E6CBF"/>
    <w:rsid w:val="002F41E3"/>
    <w:rsid w:val="003122C0"/>
    <w:rsid w:val="0032002D"/>
    <w:rsid w:val="00325C2F"/>
    <w:rsid w:val="003372CA"/>
    <w:rsid w:val="003414C9"/>
    <w:rsid w:val="00344ACA"/>
    <w:rsid w:val="00350845"/>
    <w:rsid w:val="003514AD"/>
    <w:rsid w:val="003556D7"/>
    <w:rsid w:val="003579F9"/>
    <w:rsid w:val="00364005"/>
    <w:rsid w:val="00365B2F"/>
    <w:rsid w:val="00367FDF"/>
    <w:rsid w:val="003703D7"/>
    <w:rsid w:val="00370B17"/>
    <w:rsid w:val="003721DC"/>
    <w:rsid w:val="003730BE"/>
    <w:rsid w:val="00375846"/>
    <w:rsid w:val="003869FC"/>
    <w:rsid w:val="0039744B"/>
    <w:rsid w:val="00397FE1"/>
    <w:rsid w:val="003A1406"/>
    <w:rsid w:val="003A3A6F"/>
    <w:rsid w:val="003A45D1"/>
    <w:rsid w:val="003A6E35"/>
    <w:rsid w:val="003A7CBD"/>
    <w:rsid w:val="003B54FA"/>
    <w:rsid w:val="003C3A71"/>
    <w:rsid w:val="003D4A00"/>
    <w:rsid w:val="003D6025"/>
    <w:rsid w:val="003F47DB"/>
    <w:rsid w:val="00401261"/>
    <w:rsid w:val="0040273C"/>
    <w:rsid w:val="004073C5"/>
    <w:rsid w:val="0041142F"/>
    <w:rsid w:val="004127DC"/>
    <w:rsid w:val="00413CF6"/>
    <w:rsid w:val="004164D2"/>
    <w:rsid w:val="00421046"/>
    <w:rsid w:val="00423E5C"/>
    <w:rsid w:val="00427669"/>
    <w:rsid w:val="004318DE"/>
    <w:rsid w:val="00434C35"/>
    <w:rsid w:val="0044134E"/>
    <w:rsid w:val="00441E61"/>
    <w:rsid w:val="0045339B"/>
    <w:rsid w:val="004553A3"/>
    <w:rsid w:val="004604EC"/>
    <w:rsid w:val="004612EB"/>
    <w:rsid w:val="00466111"/>
    <w:rsid w:val="0047064D"/>
    <w:rsid w:val="0047373D"/>
    <w:rsid w:val="00474403"/>
    <w:rsid w:val="00474630"/>
    <w:rsid w:val="004753CF"/>
    <w:rsid w:val="00480CF9"/>
    <w:rsid w:val="00484BDF"/>
    <w:rsid w:val="004924E9"/>
    <w:rsid w:val="004A13B9"/>
    <w:rsid w:val="004A759D"/>
    <w:rsid w:val="004B73FA"/>
    <w:rsid w:val="004B7553"/>
    <w:rsid w:val="004C04F4"/>
    <w:rsid w:val="004D1C1E"/>
    <w:rsid w:val="004D24D6"/>
    <w:rsid w:val="004D7EA0"/>
    <w:rsid w:val="004E187F"/>
    <w:rsid w:val="004E635F"/>
    <w:rsid w:val="004E7A01"/>
    <w:rsid w:val="004E7F20"/>
    <w:rsid w:val="004F5DDA"/>
    <w:rsid w:val="00500C53"/>
    <w:rsid w:val="00505A1A"/>
    <w:rsid w:val="00535673"/>
    <w:rsid w:val="00543EA3"/>
    <w:rsid w:val="00560CA1"/>
    <w:rsid w:val="00563AF9"/>
    <w:rsid w:val="00564A94"/>
    <w:rsid w:val="0056580E"/>
    <w:rsid w:val="00567778"/>
    <w:rsid w:val="0057067E"/>
    <w:rsid w:val="00580299"/>
    <w:rsid w:val="005805CE"/>
    <w:rsid w:val="005814A0"/>
    <w:rsid w:val="0058268F"/>
    <w:rsid w:val="005A0EF4"/>
    <w:rsid w:val="005A3003"/>
    <w:rsid w:val="005A5307"/>
    <w:rsid w:val="005B3446"/>
    <w:rsid w:val="005B7628"/>
    <w:rsid w:val="005C7204"/>
    <w:rsid w:val="005D0DEC"/>
    <w:rsid w:val="005E1AF1"/>
    <w:rsid w:val="005F102A"/>
    <w:rsid w:val="005F200D"/>
    <w:rsid w:val="005F32A1"/>
    <w:rsid w:val="005F70E5"/>
    <w:rsid w:val="00602A44"/>
    <w:rsid w:val="006035CE"/>
    <w:rsid w:val="00613C4B"/>
    <w:rsid w:val="00625192"/>
    <w:rsid w:val="00625779"/>
    <w:rsid w:val="006263EC"/>
    <w:rsid w:val="006364DD"/>
    <w:rsid w:val="0065006D"/>
    <w:rsid w:val="00651BDC"/>
    <w:rsid w:val="00652C50"/>
    <w:rsid w:val="00652C90"/>
    <w:rsid w:val="0065725B"/>
    <w:rsid w:val="00661AA7"/>
    <w:rsid w:val="00663D4A"/>
    <w:rsid w:val="00664C8B"/>
    <w:rsid w:val="00666386"/>
    <w:rsid w:val="0068443D"/>
    <w:rsid w:val="00684524"/>
    <w:rsid w:val="006901CA"/>
    <w:rsid w:val="00692A84"/>
    <w:rsid w:val="006959E5"/>
    <w:rsid w:val="006A0C9B"/>
    <w:rsid w:val="006B0325"/>
    <w:rsid w:val="006B623B"/>
    <w:rsid w:val="006C2777"/>
    <w:rsid w:val="006D3907"/>
    <w:rsid w:val="006E706B"/>
    <w:rsid w:val="006F5CE9"/>
    <w:rsid w:val="006F68F7"/>
    <w:rsid w:val="0070541D"/>
    <w:rsid w:val="00717E2D"/>
    <w:rsid w:val="0072012B"/>
    <w:rsid w:val="00725ED6"/>
    <w:rsid w:val="007268FD"/>
    <w:rsid w:val="007356D2"/>
    <w:rsid w:val="007472ED"/>
    <w:rsid w:val="00751EC5"/>
    <w:rsid w:val="00752F4C"/>
    <w:rsid w:val="00757B91"/>
    <w:rsid w:val="00757F34"/>
    <w:rsid w:val="007621E5"/>
    <w:rsid w:val="007638E8"/>
    <w:rsid w:val="0076547C"/>
    <w:rsid w:val="00772516"/>
    <w:rsid w:val="007727FA"/>
    <w:rsid w:val="00777C5C"/>
    <w:rsid w:val="00783455"/>
    <w:rsid w:val="00783CB6"/>
    <w:rsid w:val="007911B2"/>
    <w:rsid w:val="00792549"/>
    <w:rsid w:val="00793534"/>
    <w:rsid w:val="00794ADD"/>
    <w:rsid w:val="00796CA6"/>
    <w:rsid w:val="007A127D"/>
    <w:rsid w:val="007A1DE1"/>
    <w:rsid w:val="007A3490"/>
    <w:rsid w:val="007A368F"/>
    <w:rsid w:val="007B08F2"/>
    <w:rsid w:val="007B2BDF"/>
    <w:rsid w:val="007B5957"/>
    <w:rsid w:val="007C5956"/>
    <w:rsid w:val="007C6322"/>
    <w:rsid w:val="007D1534"/>
    <w:rsid w:val="007D28D3"/>
    <w:rsid w:val="007D3C68"/>
    <w:rsid w:val="007D5B55"/>
    <w:rsid w:val="007D73A2"/>
    <w:rsid w:val="007E3E77"/>
    <w:rsid w:val="007E681B"/>
    <w:rsid w:val="007E6ADB"/>
    <w:rsid w:val="007F1396"/>
    <w:rsid w:val="007F2320"/>
    <w:rsid w:val="007F4E09"/>
    <w:rsid w:val="007F5227"/>
    <w:rsid w:val="007F5283"/>
    <w:rsid w:val="007F7577"/>
    <w:rsid w:val="00800635"/>
    <w:rsid w:val="00804256"/>
    <w:rsid w:val="0080438D"/>
    <w:rsid w:val="008055C3"/>
    <w:rsid w:val="008107C7"/>
    <w:rsid w:val="00811DA9"/>
    <w:rsid w:val="00817F59"/>
    <w:rsid w:val="00827566"/>
    <w:rsid w:val="00827CE4"/>
    <w:rsid w:val="00833F3B"/>
    <w:rsid w:val="00835840"/>
    <w:rsid w:val="0083791D"/>
    <w:rsid w:val="00844BDD"/>
    <w:rsid w:val="00851197"/>
    <w:rsid w:val="008530E1"/>
    <w:rsid w:val="00855B63"/>
    <w:rsid w:val="008624B6"/>
    <w:rsid w:val="00864534"/>
    <w:rsid w:val="0088017E"/>
    <w:rsid w:val="00881586"/>
    <w:rsid w:val="00881CBE"/>
    <w:rsid w:val="00882248"/>
    <w:rsid w:val="00887FA6"/>
    <w:rsid w:val="00893240"/>
    <w:rsid w:val="008A1800"/>
    <w:rsid w:val="008A3E0F"/>
    <w:rsid w:val="008B2F2A"/>
    <w:rsid w:val="008B7DCC"/>
    <w:rsid w:val="008C315E"/>
    <w:rsid w:val="008C7B7B"/>
    <w:rsid w:val="008E2327"/>
    <w:rsid w:val="008F7631"/>
    <w:rsid w:val="00900194"/>
    <w:rsid w:val="00900A60"/>
    <w:rsid w:val="00907687"/>
    <w:rsid w:val="00917408"/>
    <w:rsid w:val="00923B01"/>
    <w:rsid w:val="0092410E"/>
    <w:rsid w:val="009252CC"/>
    <w:rsid w:val="009266B3"/>
    <w:rsid w:val="00927EAB"/>
    <w:rsid w:val="00932AEB"/>
    <w:rsid w:val="009345F0"/>
    <w:rsid w:val="00936087"/>
    <w:rsid w:val="009369A0"/>
    <w:rsid w:val="00941264"/>
    <w:rsid w:val="009507C2"/>
    <w:rsid w:val="00964C0C"/>
    <w:rsid w:val="00967BB1"/>
    <w:rsid w:val="0097728F"/>
    <w:rsid w:val="00987FAD"/>
    <w:rsid w:val="009A3397"/>
    <w:rsid w:val="009A3940"/>
    <w:rsid w:val="009A4754"/>
    <w:rsid w:val="009B1511"/>
    <w:rsid w:val="009B22D5"/>
    <w:rsid w:val="009B2B49"/>
    <w:rsid w:val="009C13D1"/>
    <w:rsid w:val="009D0DC1"/>
    <w:rsid w:val="009D19C0"/>
    <w:rsid w:val="009D5340"/>
    <w:rsid w:val="009F62C9"/>
    <w:rsid w:val="00A01CC4"/>
    <w:rsid w:val="00A067A5"/>
    <w:rsid w:val="00A11FFC"/>
    <w:rsid w:val="00A1455F"/>
    <w:rsid w:val="00A14C84"/>
    <w:rsid w:val="00A17212"/>
    <w:rsid w:val="00A2214B"/>
    <w:rsid w:val="00A26130"/>
    <w:rsid w:val="00A377B2"/>
    <w:rsid w:val="00A4462F"/>
    <w:rsid w:val="00A55F45"/>
    <w:rsid w:val="00A72DA0"/>
    <w:rsid w:val="00A733B7"/>
    <w:rsid w:val="00A75EFE"/>
    <w:rsid w:val="00A77FAC"/>
    <w:rsid w:val="00A844D5"/>
    <w:rsid w:val="00A85AF9"/>
    <w:rsid w:val="00A92CAA"/>
    <w:rsid w:val="00A93DBB"/>
    <w:rsid w:val="00A975BB"/>
    <w:rsid w:val="00A976B4"/>
    <w:rsid w:val="00AA2C8F"/>
    <w:rsid w:val="00AA5D04"/>
    <w:rsid w:val="00AA6A05"/>
    <w:rsid w:val="00AA7F5B"/>
    <w:rsid w:val="00AB208B"/>
    <w:rsid w:val="00AB566D"/>
    <w:rsid w:val="00AB794F"/>
    <w:rsid w:val="00AC1AFE"/>
    <w:rsid w:val="00AC2188"/>
    <w:rsid w:val="00AC63FE"/>
    <w:rsid w:val="00AC73DB"/>
    <w:rsid w:val="00AD7F32"/>
    <w:rsid w:val="00B04013"/>
    <w:rsid w:val="00B121C1"/>
    <w:rsid w:val="00B2246D"/>
    <w:rsid w:val="00B23933"/>
    <w:rsid w:val="00B36B4D"/>
    <w:rsid w:val="00B36E35"/>
    <w:rsid w:val="00B446BE"/>
    <w:rsid w:val="00B45376"/>
    <w:rsid w:val="00B6223E"/>
    <w:rsid w:val="00B714A6"/>
    <w:rsid w:val="00B7339D"/>
    <w:rsid w:val="00B75BC1"/>
    <w:rsid w:val="00B80544"/>
    <w:rsid w:val="00B806E1"/>
    <w:rsid w:val="00B87399"/>
    <w:rsid w:val="00B873EC"/>
    <w:rsid w:val="00BA3530"/>
    <w:rsid w:val="00BA538E"/>
    <w:rsid w:val="00BA60C2"/>
    <w:rsid w:val="00BB3AA3"/>
    <w:rsid w:val="00BB4C07"/>
    <w:rsid w:val="00BB4E1F"/>
    <w:rsid w:val="00BD0272"/>
    <w:rsid w:val="00BD3D45"/>
    <w:rsid w:val="00BE1A10"/>
    <w:rsid w:val="00BE3C15"/>
    <w:rsid w:val="00BF28FE"/>
    <w:rsid w:val="00C01730"/>
    <w:rsid w:val="00C02371"/>
    <w:rsid w:val="00C0612B"/>
    <w:rsid w:val="00C15671"/>
    <w:rsid w:val="00C159AA"/>
    <w:rsid w:val="00C201AD"/>
    <w:rsid w:val="00C21762"/>
    <w:rsid w:val="00C264BD"/>
    <w:rsid w:val="00C27850"/>
    <w:rsid w:val="00C3352E"/>
    <w:rsid w:val="00C3508E"/>
    <w:rsid w:val="00C42A98"/>
    <w:rsid w:val="00C51747"/>
    <w:rsid w:val="00C521D5"/>
    <w:rsid w:val="00C52B09"/>
    <w:rsid w:val="00C659D1"/>
    <w:rsid w:val="00C70FD3"/>
    <w:rsid w:val="00C808E4"/>
    <w:rsid w:val="00C81FF7"/>
    <w:rsid w:val="00C916DA"/>
    <w:rsid w:val="00CA2A2D"/>
    <w:rsid w:val="00CA3640"/>
    <w:rsid w:val="00CB2862"/>
    <w:rsid w:val="00CC66B7"/>
    <w:rsid w:val="00CD0E12"/>
    <w:rsid w:val="00CE3541"/>
    <w:rsid w:val="00CE3A36"/>
    <w:rsid w:val="00CF1001"/>
    <w:rsid w:val="00CF5872"/>
    <w:rsid w:val="00D005B5"/>
    <w:rsid w:val="00D105E4"/>
    <w:rsid w:val="00D10FF7"/>
    <w:rsid w:val="00D20CE5"/>
    <w:rsid w:val="00D24520"/>
    <w:rsid w:val="00D24832"/>
    <w:rsid w:val="00D313BE"/>
    <w:rsid w:val="00D339D0"/>
    <w:rsid w:val="00D369E1"/>
    <w:rsid w:val="00D42C26"/>
    <w:rsid w:val="00D43309"/>
    <w:rsid w:val="00D46987"/>
    <w:rsid w:val="00D514E4"/>
    <w:rsid w:val="00D6175F"/>
    <w:rsid w:val="00D61981"/>
    <w:rsid w:val="00D6544D"/>
    <w:rsid w:val="00D71AF7"/>
    <w:rsid w:val="00D71BDF"/>
    <w:rsid w:val="00D77045"/>
    <w:rsid w:val="00D80A23"/>
    <w:rsid w:val="00D95EBF"/>
    <w:rsid w:val="00D97AED"/>
    <w:rsid w:val="00DA5815"/>
    <w:rsid w:val="00DB7C40"/>
    <w:rsid w:val="00DC0445"/>
    <w:rsid w:val="00DC0966"/>
    <w:rsid w:val="00DC6B31"/>
    <w:rsid w:val="00DD7DC9"/>
    <w:rsid w:val="00DF1115"/>
    <w:rsid w:val="00DF23FD"/>
    <w:rsid w:val="00E012F8"/>
    <w:rsid w:val="00E02E7F"/>
    <w:rsid w:val="00E11F27"/>
    <w:rsid w:val="00E21301"/>
    <w:rsid w:val="00E21C28"/>
    <w:rsid w:val="00E24CE3"/>
    <w:rsid w:val="00E27E4B"/>
    <w:rsid w:val="00E3082C"/>
    <w:rsid w:val="00E31930"/>
    <w:rsid w:val="00E33D48"/>
    <w:rsid w:val="00E36F47"/>
    <w:rsid w:val="00E40CF7"/>
    <w:rsid w:val="00E440F4"/>
    <w:rsid w:val="00E63FF6"/>
    <w:rsid w:val="00E705B9"/>
    <w:rsid w:val="00E7147F"/>
    <w:rsid w:val="00E84A79"/>
    <w:rsid w:val="00E861EF"/>
    <w:rsid w:val="00E94273"/>
    <w:rsid w:val="00EA12F3"/>
    <w:rsid w:val="00EA7385"/>
    <w:rsid w:val="00EA7D66"/>
    <w:rsid w:val="00EB7769"/>
    <w:rsid w:val="00EC32AB"/>
    <w:rsid w:val="00EC5553"/>
    <w:rsid w:val="00ED2518"/>
    <w:rsid w:val="00EE13B1"/>
    <w:rsid w:val="00EE457A"/>
    <w:rsid w:val="00EE7EB7"/>
    <w:rsid w:val="00EF6A4C"/>
    <w:rsid w:val="00F142B2"/>
    <w:rsid w:val="00F160DA"/>
    <w:rsid w:val="00F1642F"/>
    <w:rsid w:val="00F24BB9"/>
    <w:rsid w:val="00F27086"/>
    <w:rsid w:val="00F27136"/>
    <w:rsid w:val="00F31170"/>
    <w:rsid w:val="00F419FB"/>
    <w:rsid w:val="00F50882"/>
    <w:rsid w:val="00F50A7C"/>
    <w:rsid w:val="00F61A08"/>
    <w:rsid w:val="00F65AD7"/>
    <w:rsid w:val="00F70EF5"/>
    <w:rsid w:val="00F714A5"/>
    <w:rsid w:val="00F72F71"/>
    <w:rsid w:val="00F81FD8"/>
    <w:rsid w:val="00F90FB4"/>
    <w:rsid w:val="00F935AE"/>
    <w:rsid w:val="00F96424"/>
    <w:rsid w:val="00FA0467"/>
    <w:rsid w:val="00FA0998"/>
    <w:rsid w:val="00FB5B1C"/>
    <w:rsid w:val="00FB698C"/>
    <w:rsid w:val="00FC1C78"/>
    <w:rsid w:val="00FC7221"/>
    <w:rsid w:val="00FD242C"/>
    <w:rsid w:val="00FD3192"/>
    <w:rsid w:val="04260031"/>
    <w:rsid w:val="07134DF0"/>
    <w:rsid w:val="09C158D1"/>
    <w:rsid w:val="11A437F2"/>
    <w:rsid w:val="122D43F0"/>
    <w:rsid w:val="129218C6"/>
    <w:rsid w:val="167EBEA7"/>
    <w:rsid w:val="17530C7F"/>
    <w:rsid w:val="190F39C8"/>
    <w:rsid w:val="1E0B9B1B"/>
    <w:rsid w:val="1FA33986"/>
    <w:rsid w:val="209C25C0"/>
    <w:rsid w:val="28526DE6"/>
    <w:rsid w:val="2F341436"/>
    <w:rsid w:val="2FB93656"/>
    <w:rsid w:val="31A71BAF"/>
    <w:rsid w:val="32D242D3"/>
    <w:rsid w:val="36FB7650"/>
    <w:rsid w:val="37134457"/>
    <w:rsid w:val="3A8A5762"/>
    <w:rsid w:val="3A923DB2"/>
    <w:rsid w:val="3B5164CB"/>
    <w:rsid w:val="3DE7724E"/>
    <w:rsid w:val="3EBDBB3E"/>
    <w:rsid w:val="412347CF"/>
    <w:rsid w:val="45FF4B58"/>
    <w:rsid w:val="49BA2985"/>
    <w:rsid w:val="4ABE0A70"/>
    <w:rsid w:val="4C2C5A2D"/>
    <w:rsid w:val="4CF26872"/>
    <w:rsid w:val="4D995828"/>
    <w:rsid w:val="4DB1012E"/>
    <w:rsid w:val="5258605A"/>
    <w:rsid w:val="55090E67"/>
    <w:rsid w:val="58535667"/>
    <w:rsid w:val="5A0C7DB3"/>
    <w:rsid w:val="5A9220CE"/>
    <w:rsid w:val="5A950EB9"/>
    <w:rsid w:val="5B0E7E71"/>
    <w:rsid w:val="5C80496F"/>
    <w:rsid w:val="5CEF2CEE"/>
    <w:rsid w:val="5FA6034F"/>
    <w:rsid w:val="5FC73118"/>
    <w:rsid w:val="620A4E8D"/>
    <w:rsid w:val="62F91E0E"/>
    <w:rsid w:val="63C75BCE"/>
    <w:rsid w:val="664A06D5"/>
    <w:rsid w:val="66DC4460"/>
    <w:rsid w:val="691D54E1"/>
    <w:rsid w:val="69EE340A"/>
    <w:rsid w:val="6A320EC7"/>
    <w:rsid w:val="6A7E15FA"/>
    <w:rsid w:val="6B66520C"/>
    <w:rsid w:val="6D203042"/>
    <w:rsid w:val="6FBFBB76"/>
    <w:rsid w:val="6FEE161F"/>
    <w:rsid w:val="711B0E94"/>
    <w:rsid w:val="7312613C"/>
    <w:rsid w:val="738505EC"/>
    <w:rsid w:val="73A6484A"/>
    <w:rsid w:val="773E370A"/>
    <w:rsid w:val="792B568A"/>
    <w:rsid w:val="7B9D59E3"/>
    <w:rsid w:val="7D3557D1"/>
    <w:rsid w:val="7FEFA1AB"/>
    <w:rsid w:val="7FEFCE7B"/>
    <w:rsid w:val="7FF5FFBC"/>
    <w:rsid w:val="98E39434"/>
    <w:rsid w:val="AAFDC2AD"/>
    <w:rsid w:val="D2ED5CFF"/>
    <w:rsid w:val="EB3F73CB"/>
    <w:rsid w:val="F7120955"/>
    <w:rsid w:val="F9CF6441"/>
    <w:rsid w:val="FBDFAEA0"/>
    <w:rsid w:val="FBFD88D8"/>
    <w:rsid w:val="FEFA3C5B"/>
    <w:rsid w:val="FF7BC24D"/>
    <w:rsid w:val="FFD5B3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99" w:semiHidden="0" w:name="envelope return"/>
    <w:lsdException w:qFormat="1" w:uiPriority="0"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9"/>
    <w:pPr>
      <w:spacing w:before="100" w:beforeAutospacing="1" w:after="100" w:afterAutospacing="1"/>
      <w:jc w:val="left"/>
      <w:outlineLvl w:val="3"/>
    </w:pPr>
    <w:rPr>
      <w:rFonts w:hint="eastAsia" w:ascii="宋体" w:hAnsi="宋体"/>
      <w:b/>
      <w:kern w:val="0"/>
      <w:sz w:val="24"/>
      <w:szCs w:val="24"/>
    </w:rPr>
  </w:style>
  <w:style w:type="character" w:default="1" w:styleId="26">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7">
    <w:name w:val="caption"/>
    <w:basedOn w:val="1"/>
    <w:next w:val="1"/>
    <w:qFormat/>
    <w:uiPriority w:val="0"/>
    <w:pPr>
      <w:ind w:firstLine="200" w:firstLineChars="200"/>
    </w:pPr>
    <w:rPr>
      <w:rFonts w:ascii="Cambria" w:hAnsi="Cambria" w:eastAsia="黑体"/>
      <w:sz w:val="20"/>
      <w:szCs w:val="20"/>
    </w:rPr>
  </w:style>
  <w:style w:type="paragraph" w:styleId="8">
    <w:name w:val="annotation text"/>
    <w:basedOn w:val="1"/>
    <w:link w:val="50"/>
    <w:semiHidden/>
    <w:unhideWhenUsed/>
    <w:qFormat/>
    <w:uiPriority w:val="99"/>
    <w:pPr>
      <w:jc w:val="left"/>
    </w:pPr>
  </w:style>
  <w:style w:type="paragraph" w:styleId="9">
    <w:name w:val="Body Text Indent"/>
    <w:basedOn w:val="1"/>
    <w:next w:val="10"/>
    <w:unhideWhenUsed/>
    <w:qFormat/>
    <w:uiPriority w:val="99"/>
    <w:pPr>
      <w:spacing w:line="600" w:lineRule="exact"/>
      <w:ind w:firstLine="640" w:firstLineChars="200"/>
    </w:pPr>
    <w:rPr>
      <w:szCs w:val="32"/>
    </w:rPr>
  </w:style>
  <w:style w:type="paragraph" w:styleId="10">
    <w:name w:val="envelope return"/>
    <w:basedOn w:val="1"/>
    <w:qFormat/>
    <w:uiPriority w:val="99"/>
    <w:pPr>
      <w:widowControl/>
      <w:spacing w:before="120" w:after="120"/>
      <w:jc w:val="left"/>
    </w:pPr>
    <w:rPr>
      <w:rFonts w:ascii="Cambria" w:hAnsi="Cambria"/>
      <w:kern w:val="0"/>
      <w:sz w:val="20"/>
      <w:szCs w:val="20"/>
      <w:lang w:eastAsia="en-US"/>
    </w:rPr>
  </w:style>
  <w:style w:type="paragraph" w:styleId="11">
    <w:name w:val="Date"/>
    <w:basedOn w:val="1"/>
    <w:next w:val="1"/>
    <w:link w:val="55"/>
    <w:semiHidden/>
    <w:unhideWhenUsed/>
    <w:qFormat/>
    <w:uiPriority w:val="99"/>
    <w:pPr>
      <w:ind w:left="100" w:leftChars="2500"/>
    </w:pPr>
    <w:rPr>
      <w:rFonts w:ascii="仿宋_GB2312" w:eastAsia="仿宋_GB2312"/>
      <w:kern w:val="0"/>
      <w:sz w:val="32"/>
      <w:szCs w:val="24"/>
    </w:rPr>
  </w:style>
  <w:style w:type="paragraph" w:styleId="12">
    <w:name w:val="endnote text"/>
    <w:basedOn w:val="1"/>
    <w:link w:val="53"/>
    <w:semiHidden/>
    <w:unhideWhenUsed/>
    <w:qFormat/>
    <w:uiPriority w:val="99"/>
    <w:pPr>
      <w:snapToGrid w:val="0"/>
      <w:jc w:val="left"/>
    </w:pPr>
  </w:style>
  <w:style w:type="paragraph" w:styleId="13">
    <w:name w:val="Balloon Text"/>
    <w:basedOn w:val="1"/>
    <w:unhideWhenUsed/>
    <w:qFormat/>
    <w:uiPriority w:val="99"/>
    <w:rPr>
      <w:sz w:val="18"/>
      <w:szCs w:val="18"/>
    </w:rPr>
  </w:style>
  <w:style w:type="paragraph" w:styleId="14">
    <w:name w:val="footer"/>
    <w:basedOn w:val="1"/>
    <w:unhideWhenUsed/>
    <w:qFormat/>
    <w:uiPriority w:val="99"/>
    <w:pPr>
      <w:tabs>
        <w:tab w:val="center" w:pos="4153"/>
        <w:tab w:val="right" w:pos="8306"/>
      </w:tabs>
      <w:snapToGrid w:val="0"/>
      <w:jc w:val="left"/>
    </w:pPr>
    <w:rPr>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qFormat/>
    <w:uiPriority w:val="0"/>
    <w:pPr>
      <w:spacing w:line="580" w:lineRule="exact"/>
      <w:ind w:firstLine="0" w:firstLineChars="0"/>
      <w:jc w:val="center"/>
      <w:outlineLvl w:val="1"/>
    </w:pPr>
    <w:rPr>
      <w:rFonts w:ascii="方正楷体_GBK" w:hAnsi="方正楷体_GBK" w:eastAsia="方正楷体_GBK"/>
      <w:bCs/>
      <w:kern w:val="28"/>
      <w:sz w:val="32"/>
      <w:szCs w:val="32"/>
    </w:rPr>
  </w:style>
  <w:style w:type="paragraph" w:styleId="17">
    <w:name w:val="footnote text"/>
    <w:basedOn w:val="1"/>
    <w:unhideWhenUsed/>
    <w:qFormat/>
    <w:uiPriority w:val="0"/>
    <w:pPr>
      <w:snapToGrid w:val="0"/>
      <w:jc w:val="left"/>
    </w:pPr>
    <w:rPr>
      <w:sz w:val="18"/>
      <w:szCs w:val="18"/>
    </w:r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20">
    <w:name w:val="annotation subject"/>
    <w:basedOn w:val="8"/>
    <w:next w:val="8"/>
    <w:link w:val="51"/>
    <w:semiHidden/>
    <w:unhideWhenUsed/>
    <w:qFormat/>
    <w:uiPriority w:val="99"/>
    <w:rPr>
      <w:b/>
      <w:bCs/>
    </w:rPr>
  </w:style>
  <w:style w:type="paragraph" w:styleId="21">
    <w:name w:val="Body Text First Indent"/>
    <w:basedOn w:val="2"/>
    <w:next w:val="2"/>
    <w:qFormat/>
    <w:uiPriority w:val="0"/>
    <w:pPr>
      <w:keepNext w:val="0"/>
      <w:keepLines w:val="0"/>
      <w:widowControl w:val="0"/>
      <w:suppressLineNumbers w:val="0"/>
      <w:spacing w:after="120" w:afterAutospacing="0"/>
      <w:ind w:firstLine="420" w:firstLineChars="100"/>
      <w:jc w:val="both"/>
    </w:pPr>
    <w:rPr>
      <w:rFonts w:hint="default" w:ascii="Calibri" w:hAnsi="Calibri" w:eastAsia="宋体" w:cs="Times New Roman"/>
      <w:kern w:val="2"/>
      <w:sz w:val="21"/>
      <w:szCs w:val="21"/>
      <w:lang w:val="en-US" w:eastAsia="zh-CN" w:bidi="ar"/>
    </w:rPr>
  </w:style>
  <w:style w:type="paragraph" w:styleId="22">
    <w:name w:val="Body Text First Indent 2"/>
    <w:basedOn w:val="9"/>
    <w:next w:val="21"/>
    <w:qFormat/>
    <w:uiPriority w:val="0"/>
    <w:pPr>
      <w:overflowPunct w:val="0"/>
      <w:spacing w:line="560" w:lineRule="exact"/>
      <w:ind w:firstLine="420"/>
    </w:pPr>
    <w:rPr>
      <w:rFonts w:ascii="Calibri" w:hAnsi="Calibri" w:eastAsia="宋体" w:cs="Times New Roman"/>
      <w:sz w:val="32"/>
      <w:szCs w:val="24"/>
    </w:rPr>
  </w:style>
  <w:style w:type="table" w:styleId="24">
    <w:name w:val="Table Grid"/>
    <w:basedOn w:val="23"/>
    <w:qFormat/>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5">
    <w:name w:val="Light Shading Accent 1"/>
    <w:basedOn w:val="23"/>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27">
    <w:name w:val="Strong"/>
    <w:basedOn w:val="26"/>
    <w:qFormat/>
    <w:uiPriority w:val="0"/>
    <w:rPr>
      <w:b/>
      <w:bCs/>
    </w:rPr>
  </w:style>
  <w:style w:type="character" w:styleId="28">
    <w:name w:val="endnote reference"/>
    <w:semiHidden/>
    <w:unhideWhenUsed/>
    <w:qFormat/>
    <w:uiPriority w:val="99"/>
    <w:rPr>
      <w:vertAlign w:val="superscript"/>
    </w:rPr>
  </w:style>
  <w:style w:type="character" w:styleId="29">
    <w:name w:val="Emphasis"/>
    <w:basedOn w:val="26"/>
    <w:qFormat/>
    <w:uiPriority w:val="0"/>
    <w:rPr>
      <w:i/>
      <w:iCs/>
    </w:rPr>
  </w:style>
  <w:style w:type="character" w:styleId="30">
    <w:name w:val="Hyperlink"/>
    <w:basedOn w:val="26"/>
    <w:semiHidden/>
    <w:unhideWhenUsed/>
    <w:qFormat/>
    <w:uiPriority w:val="99"/>
    <w:rPr>
      <w:color w:val="0000FF"/>
      <w:u w:val="single"/>
    </w:rPr>
  </w:style>
  <w:style w:type="character" w:styleId="31">
    <w:name w:val="annotation reference"/>
    <w:semiHidden/>
    <w:unhideWhenUsed/>
    <w:qFormat/>
    <w:uiPriority w:val="99"/>
    <w:rPr>
      <w:sz w:val="21"/>
      <w:szCs w:val="21"/>
    </w:rPr>
  </w:style>
  <w:style w:type="character" w:styleId="32">
    <w:name w:val="footnote reference"/>
    <w:unhideWhenUsed/>
    <w:qFormat/>
    <w:uiPriority w:val="0"/>
    <w:rPr>
      <w:vertAlign w:val="superscript"/>
    </w:rPr>
  </w:style>
  <w:style w:type="paragraph" w:customStyle="1" w:styleId="33">
    <w:name w:val="目录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34">
    <w:name w:val="font01"/>
    <w:qFormat/>
    <w:uiPriority w:val="0"/>
    <w:rPr>
      <w:rFonts w:hint="default" w:ascii="方正仿宋_GBK" w:hAnsi="方正仿宋_GBK" w:eastAsia="方正仿宋_GBK" w:cs="方正仿宋_GBK"/>
      <w:b/>
      <w:color w:val="000000"/>
      <w:sz w:val="24"/>
      <w:szCs w:val="24"/>
      <w:u w:val="none"/>
    </w:rPr>
  </w:style>
  <w:style w:type="character" w:customStyle="1" w:styleId="35">
    <w:name w:val="font31"/>
    <w:qFormat/>
    <w:uiPriority w:val="0"/>
    <w:rPr>
      <w:rFonts w:hint="default" w:ascii="方正仿宋_GBK" w:hAnsi="方正仿宋_GBK" w:eastAsia="方正仿宋_GBK" w:cs="方正仿宋_GBK"/>
      <w:b/>
      <w:color w:val="000000"/>
      <w:sz w:val="24"/>
      <w:szCs w:val="24"/>
      <w:u w:val="none"/>
    </w:rPr>
  </w:style>
  <w:style w:type="character" w:customStyle="1" w:styleId="36">
    <w:name w:val="font11"/>
    <w:qFormat/>
    <w:uiPriority w:val="0"/>
    <w:rPr>
      <w:rFonts w:hint="default" w:ascii="方正仿宋_GBK" w:hAnsi="方正仿宋_GBK" w:eastAsia="方正仿宋_GBK" w:cs="方正仿宋_GBK"/>
      <w:color w:val="000000"/>
      <w:sz w:val="24"/>
      <w:szCs w:val="24"/>
      <w:u w:val="none"/>
    </w:rPr>
  </w:style>
  <w:style w:type="character" w:customStyle="1" w:styleId="37">
    <w:name w:val="font21"/>
    <w:qFormat/>
    <w:uiPriority w:val="0"/>
    <w:rPr>
      <w:rFonts w:hint="default" w:ascii="方正仿宋_GBK" w:hAnsi="方正仿宋_GBK" w:eastAsia="方正仿宋_GBK" w:cs="方正仿宋_GBK"/>
      <w:color w:val="000000"/>
      <w:sz w:val="24"/>
      <w:szCs w:val="24"/>
      <w:u w:val="none"/>
    </w:rPr>
  </w:style>
  <w:style w:type="character" w:customStyle="1" w:styleId="38">
    <w:name w:val="标题 2 Char"/>
    <w:qFormat/>
    <w:uiPriority w:val="0"/>
    <w:rPr>
      <w:rFonts w:ascii="宋体" w:hAnsi="宋体" w:eastAsia="宋体" w:cs="宋体"/>
      <w:b/>
      <w:bCs/>
      <w:kern w:val="0"/>
      <w:sz w:val="36"/>
      <w:szCs w:val="36"/>
    </w:rPr>
  </w:style>
  <w:style w:type="character" w:customStyle="1" w:styleId="39">
    <w:name w:val="页眉 Char"/>
    <w:qFormat/>
    <w:uiPriority w:val="99"/>
    <w:rPr>
      <w:sz w:val="18"/>
      <w:szCs w:val="18"/>
    </w:rPr>
  </w:style>
  <w:style w:type="character" w:customStyle="1" w:styleId="40">
    <w:name w:val="font41"/>
    <w:qFormat/>
    <w:uiPriority w:val="0"/>
    <w:rPr>
      <w:rFonts w:hint="eastAsia" w:ascii="宋体" w:hAnsi="宋体" w:eastAsia="宋体" w:cs="宋体"/>
      <w:color w:val="000000"/>
      <w:sz w:val="22"/>
      <w:szCs w:val="22"/>
      <w:u w:val="none"/>
    </w:rPr>
  </w:style>
  <w:style w:type="character" w:customStyle="1" w:styleId="41">
    <w:name w:val="标题 1 Char"/>
    <w:qFormat/>
    <w:uiPriority w:val="9"/>
    <w:rPr>
      <w:b/>
      <w:bCs/>
      <w:kern w:val="44"/>
      <w:sz w:val="44"/>
      <w:szCs w:val="44"/>
    </w:rPr>
  </w:style>
  <w:style w:type="character" w:customStyle="1" w:styleId="42">
    <w:name w:val="批注框文本 Char"/>
    <w:semiHidden/>
    <w:qFormat/>
    <w:uiPriority w:val="99"/>
    <w:rPr>
      <w:sz w:val="18"/>
      <w:szCs w:val="18"/>
    </w:rPr>
  </w:style>
  <w:style w:type="character" w:customStyle="1" w:styleId="43">
    <w:name w:val="text-remarks"/>
    <w:basedOn w:val="26"/>
    <w:qFormat/>
    <w:uiPriority w:val="0"/>
  </w:style>
  <w:style w:type="character" w:customStyle="1" w:styleId="44">
    <w:name w:val="页脚 Char"/>
    <w:qFormat/>
    <w:uiPriority w:val="99"/>
    <w:rPr>
      <w:sz w:val="18"/>
      <w:szCs w:val="18"/>
    </w:rPr>
  </w:style>
  <w:style w:type="character" w:customStyle="1" w:styleId="45">
    <w:name w:val="bjh-p"/>
    <w:basedOn w:val="26"/>
    <w:qFormat/>
    <w:uiPriority w:val="0"/>
  </w:style>
  <w:style w:type="character" w:customStyle="1" w:styleId="46">
    <w:name w:val="标题 3 Char"/>
    <w:semiHidden/>
    <w:qFormat/>
    <w:uiPriority w:val="0"/>
    <w:rPr>
      <w:b/>
      <w:bCs/>
      <w:sz w:val="32"/>
      <w:szCs w:val="32"/>
    </w:rPr>
  </w:style>
  <w:style w:type="character" w:customStyle="1" w:styleId="47">
    <w:name w:val="脚注文本 Char"/>
    <w:qFormat/>
    <w:uiPriority w:val="0"/>
    <w:rPr>
      <w:sz w:val="18"/>
      <w:szCs w:val="18"/>
    </w:rPr>
  </w:style>
  <w:style w:type="paragraph" w:styleId="48">
    <w:name w:val="List Paragraph"/>
    <w:basedOn w:val="1"/>
    <w:qFormat/>
    <w:uiPriority w:val="34"/>
    <w:pPr>
      <w:ind w:firstLine="420" w:firstLineChars="200"/>
    </w:pPr>
  </w:style>
  <w:style w:type="paragraph" w:customStyle="1" w:styleId="49">
    <w:name w:val="text-big-tit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50">
    <w:name w:val="批注文字 字符"/>
    <w:link w:val="8"/>
    <w:semiHidden/>
    <w:qFormat/>
    <w:uiPriority w:val="99"/>
    <w:rPr>
      <w:kern w:val="2"/>
      <w:sz w:val="21"/>
      <w:szCs w:val="22"/>
    </w:rPr>
  </w:style>
  <w:style w:type="character" w:customStyle="1" w:styleId="51">
    <w:name w:val="批注主题 字符"/>
    <w:link w:val="20"/>
    <w:semiHidden/>
    <w:qFormat/>
    <w:uiPriority w:val="99"/>
    <w:rPr>
      <w:b/>
      <w:bCs/>
      <w:kern w:val="2"/>
      <w:sz w:val="21"/>
      <w:szCs w:val="22"/>
    </w:rPr>
  </w:style>
  <w:style w:type="paragraph" w:customStyle="1" w:styleId="52">
    <w:name w:val="修订1"/>
    <w:hidden/>
    <w:unhideWhenUsed/>
    <w:qFormat/>
    <w:uiPriority w:val="99"/>
    <w:rPr>
      <w:rFonts w:ascii="Times New Roman" w:hAnsi="Times New Roman" w:eastAsia="宋体" w:cs="Times New Roman"/>
      <w:kern w:val="2"/>
      <w:sz w:val="21"/>
      <w:szCs w:val="22"/>
      <w:lang w:val="en-US" w:eastAsia="zh-CN" w:bidi="ar-SA"/>
    </w:rPr>
  </w:style>
  <w:style w:type="character" w:customStyle="1" w:styleId="53">
    <w:name w:val="尾注文本 字符"/>
    <w:link w:val="12"/>
    <w:semiHidden/>
    <w:qFormat/>
    <w:uiPriority w:val="99"/>
    <w:rPr>
      <w:kern w:val="2"/>
      <w:sz w:val="21"/>
      <w:szCs w:val="22"/>
    </w:rPr>
  </w:style>
  <w:style w:type="character" w:customStyle="1" w:styleId="54">
    <w:name w:val="abstract-text"/>
    <w:basedOn w:val="26"/>
    <w:qFormat/>
    <w:uiPriority w:val="0"/>
  </w:style>
  <w:style w:type="character" w:customStyle="1" w:styleId="55">
    <w:name w:val="日期 字符"/>
    <w:basedOn w:val="26"/>
    <w:link w:val="11"/>
    <w:semiHidden/>
    <w:qFormat/>
    <w:uiPriority w:val="99"/>
    <w:rPr>
      <w:rFonts w:ascii="仿宋_GB2312" w:eastAsia="仿宋_GB2312"/>
      <w:sz w:val="32"/>
      <w:szCs w:val="24"/>
    </w:rPr>
  </w:style>
  <w:style w:type="table" w:customStyle="1" w:styleId="56">
    <w:name w:val="网格型浅色1"/>
    <w:basedOn w:val="23"/>
    <w:qFormat/>
    <w:uiPriority w:val="4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paragraph" w:customStyle="1" w:styleId="57">
    <w:name w:val="脚注文本1"/>
    <w:basedOn w:val="1"/>
    <w:next w:val="17"/>
    <w:unhideWhenUsed/>
    <w:qFormat/>
    <w:uiPriority w:val="0"/>
    <w:pPr>
      <w:snapToGrid w:val="0"/>
      <w:jc w:val="left"/>
    </w:pPr>
    <w:rPr>
      <w:rFonts w:ascii="仿宋_GB2312" w:hAnsi="Calibri" w:eastAsia="仿宋_GB2312"/>
      <w:sz w:val="18"/>
      <w:szCs w:val="18"/>
    </w:rPr>
  </w:style>
  <w:style w:type="character" w:customStyle="1" w:styleId="58">
    <w:name w:val="脚注文本 Char1"/>
    <w:semiHidden/>
    <w:qFormat/>
    <w:uiPriority w:val="99"/>
    <w:rPr>
      <w:rFonts w:ascii="仿宋_GB2312" w:hAnsi="Times New Roman" w:eastAsia="仿宋_GB2312" w:cs="Times New Roman"/>
      <w:sz w:val="18"/>
      <w:szCs w:val="18"/>
    </w:rPr>
  </w:style>
  <w:style w:type="table" w:customStyle="1" w:styleId="59">
    <w:name w:val="网格型1"/>
    <w:basedOn w:val="2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0">
    <w:name w:val="脚注文本 Char2"/>
    <w:semiHidden/>
    <w:qFormat/>
    <w:uiPriority w:val="99"/>
    <w:rPr>
      <w:sz w:val="18"/>
      <w:szCs w:val="18"/>
    </w:rPr>
  </w:style>
  <w:style w:type="paragraph" w:customStyle="1" w:styleId="61">
    <w:name w:val="文档结构图1"/>
    <w:basedOn w:val="1"/>
    <w:qFormat/>
    <w:uiPriority w:val="0"/>
    <w:rPr>
      <w:rFonts w:eastAsia="仿宋_GB2312" w:asciiTheme="minorHAnsi" w:hAnsiTheme="minorHAnsi" w:cstheme="minorBidi"/>
      <w:sz w:val="32"/>
      <w:szCs w:val="24"/>
    </w:rPr>
  </w:style>
  <w:style w:type="paragraph" w:customStyle="1" w:styleId="62">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63">
    <w:name w:val="Revision"/>
    <w:hidden/>
    <w:unhideWhenUsed/>
    <w:qFormat/>
    <w:uiPriority w:val="99"/>
    <w:rPr>
      <w:rFonts w:ascii="Times New Roman" w:hAnsi="Times New Roman" w:eastAsia="宋体" w:cs="Times New Roman"/>
      <w:kern w:val="2"/>
      <w:sz w:val="21"/>
      <w:szCs w:val="22"/>
      <w:lang w:val="en-US" w:eastAsia="zh-CN" w:bidi="ar-SA"/>
    </w:rPr>
  </w:style>
  <w:style w:type="paragraph" w:customStyle="1" w:styleId="64">
    <w:name w:val="1级标题"/>
    <w:basedOn w:val="65"/>
    <w:next w:val="65"/>
    <w:qFormat/>
    <w:uiPriority w:val="0"/>
    <w:pPr>
      <w:spacing w:line="580" w:lineRule="exact"/>
      <w:ind w:firstLine="200" w:firstLineChars="200"/>
      <w:outlineLvl w:val="0"/>
    </w:pPr>
    <w:rPr>
      <w:rFonts w:ascii="方正黑体_GBK" w:hAnsi="方正黑体_GBK" w:eastAsia="方正黑体_GBK" w:cs="Times New Roman"/>
    </w:rPr>
  </w:style>
  <w:style w:type="paragraph" w:customStyle="1" w:styleId="65">
    <w:name w:val="Formal公文"/>
    <w:basedOn w:val="1"/>
    <w:qFormat/>
    <w:uiPriority w:val="0"/>
    <w:pPr>
      <w:widowControl w:val="0"/>
      <w:spacing w:line="600" w:lineRule="exact"/>
      <w:ind w:firstLine="200" w:firstLineChars="200"/>
      <w:jc w:val="both"/>
    </w:pPr>
    <w:rPr>
      <w:rFonts w:ascii="方正仿宋_GBK" w:hAnsi="方正仿宋_GBK" w:eastAsia="方正仿宋_GBK"/>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37"/>
    <customShpInfo spid="_x0000_s1036"/>
    <customShpInfo spid="_x0000_s1035"/>
  </customShpExts>
</s:customData>
</file>

<file path=customXml/item2.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466BEE-8F7A-4449-AC3D-8A975224ABBA}">
  <ds:schemaRefs/>
</ds:datastoreItem>
</file>

<file path=docProps/app.xml><?xml version="1.0" encoding="utf-8"?>
<Properties xmlns="http://schemas.openxmlformats.org/officeDocument/2006/extended-properties" xmlns:vt="http://schemas.openxmlformats.org/officeDocument/2006/docPropsVTypes">
  <Company>BOCOM</Company>
  <Pages>6</Pages>
  <Words>3156</Words>
  <Characters>3188</Characters>
  <Lines>9</Lines>
  <Paragraphs>2</Paragraphs>
  <TotalTime>37</TotalTime>
  <ScaleCrop>false</ScaleCrop>
  <LinksUpToDate>false</LinksUpToDate>
  <CharactersWithSpaces>3209</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2025-06-28T02:21:00Z</dcterms:created>
  <dc:creator>武雯</dc:creator>
  <dc:description>1598930706023682</dc:description>
  <cp:lastModifiedBy>huangxiaohe</cp:lastModifiedBy>
  <cp:lastPrinted>2026-09-11T00:29:00Z</cp:lastPrinted>
  <dcterms:modified xsi:type="dcterms:W3CDTF">2026-09-15T09:38:26Z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8BACB5F2CDF3832CDF74A36A34B42B96_43</vt:lpwstr>
  </property>
  <property fmtid="{D5CDD505-2E9C-101B-9397-08002B2CF9AE}" pid="4" name="KSOTemplateDocerSaveRecord">
    <vt:lpwstr>eyJoZGlkIjoiMmE1MmQxYjg3ZmEwNjhlYWNjYWM4Zjk4OWZlNjY4N2EiLCJ1c2VySWQiOiI3NjgwMzE0ODIifQ==</vt:lpwstr>
  </property>
</Properties>
</file>