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B8A60">
      <w:pPr>
        <w:spacing w:line="640" w:lineRule="exact"/>
        <w:jc w:val="center"/>
        <w:rPr>
          <w:rFonts w:hint="eastAsia" w:ascii="方正小标宋简体" w:hAnsi="宋体" w:eastAsia="方正小标宋简体"/>
          <w:b/>
          <w:bCs/>
          <w:color w:val="000000" w:themeColor="text1"/>
          <w:sz w:val="44"/>
          <w:szCs w:val="44"/>
          <w:lang w:val="en-US" w:eastAsia="zh-CN"/>
          <w14:textFill>
            <w14:solidFill>
              <w14:schemeClr w14:val="tx1"/>
            </w14:solidFill>
          </w14:textFill>
        </w:rPr>
      </w:pPr>
      <w:bookmarkStart w:id="0" w:name="OLE_LINK3"/>
      <w:r>
        <w:rPr>
          <w:rFonts w:hint="eastAsia" w:ascii="方正小标宋简体" w:hAnsi="宋体" w:eastAsia="方正小标宋简体"/>
          <w:b/>
          <w:bCs/>
          <w:color w:val="000000" w:themeColor="text1"/>
          <w:sz w:val="44"/>
          <w:szCs w:val="44"/>
          <w:lang w:eastAsia="zh-CN"/>
          <w14:textFill>
            <w14:solidFill>
              <w14:schemeClr w14:val="tx1"/>
            </w14:solidFill>
          </w14:textFill>
        </w:rPr>
        <w:t>泉</w:t>
      </w:r>
      <w:bookmarkStart w:id="1" w:name="OLE_LINK2"/>
      <w:r>
        <w:rPr>
          <w:rFonts w:hint="eastAsia" w:ascii="方正小标宋简体" w:hAnsi="宋体" w:eastAsia="方正小标宋简体"/>
          <w:b/>
          <w:bCs/>
          <w:color w:val="000000" w:themeColor="text1"/>
          <w:sz w:val="44"/>
          <w:szCs w:val="44"/>
          <w:lang w:eastAsia="zh-CN"/>
          <w14:textFill>
            <w14:solidFill>
              <w14:schemeClr w14:val="tx1"/>
            </w14:solidFill>
          </w14:textFill>
        </w:rPr>
        <w:t>州工程职业技术学院</w:t>
      </w:r>
      <w:r>
        <w:rPr>
          <w:rFonts w:hint="eastAsia" w:ascii="方正小标宋简体" w:hAnsi="宋体" w:eastAsia="方正小标宋简体"/>
          <w:b/>
          <w:bCs/>
          <w:color w:val="000000" w:themeColor="text1"/>
          <w:sz w:val="44"/>
          <w:szCs w:val="44"/>
          <w:lang w:val="en-US" w:eastAsia="zh-CN"/>
          <w14:textFill>
            <w14:solidFill>
              <w14:schemeClr w14:val="tx1"/>
            </w14:solidFill>
          </w14:textFill>
        </w:rPr>
        <w:t>2026年</w:t>
      </w:r>
    </w:p>
    <w:p w14:paraId="1B77D60D">
      <w:pPr>
        <w:spacing w:line="640" w:lineRule="exact"/>
        <w:jc w:val="center"/>
        <w:rPr>
          <w:rFonts w:ascii="方正小标宋简体" w:eastAsia="方正小标宋简体"/>
          <w:b/>
          <w:bCs/>
          <w:color w:val="000000" w:themeColor="text1"/>
          <w:sz w:val="44"/>
          <w:szCs w:val="44"/>
          <w14:textFill>
            <w14:solidFill>
              <w14:schemeClr w14:val="tx1"/>
            </w14:solidFill>
          </w14:textFill>
        </w:rPr>
      </w:pPr>
      <w:r>
        <w:rPr>
          <w:rFonts w:hint="eastAsia" w:ascii="方正小标宋简体" w:hAnsi="宋体" w:eastAsia="方正小标宋简体"/>
          <w:b/>
          <w:bCs/>
          <w:color w:val="000000" w:themeColor="text1"/>
          <w:sz w:val="44"/>
          <w:szCs w:val="44"/>
          <w:lang w:val="en-US" w:eastAsia="zh-CN"/>
          <w14:textFill>
            <w14:solidFill>
              <w14:schemeClr w14:val="tx1"/>
            </w14:solidFill>
          </w14:textFill>
        </w:rPr>
        <w:t>人才引进招聘启事</w:t>
      </w:r>
      <w:bookmarkEnd w:id="0"/>
      <w:bookmarkEnd w:id="1"/>
    </w:p>
    <w:p w14:paraId="3B8469E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Style w:val="10"/>
          <w:rFonts w:ascii="微软雅黑" w:hAnsi="微软雅黑" w:eastAsia="微软雅黑" w:cs="微软雅黑"/>
          <w:i w:val="0"/>
          <w:iCs w:val="0"/>
          <w:caps w:val="0"/>
          <w:color w:val="000000" w:themeColor="text1"/>
          <w:spacing w:val="8"/>
          <w:sz w:val="24"/>
          <w:szCs w:val="24"/>
          <w:shd w:val="clear" w:fill="CB3900"/>
          <w14:textFill>
            <w14:solidFill>
              <w14:schemeClr w14:val="tx1"/>
            </w14:solidFill>
          </w14:textFill>
        </w:rPr>
      </w:pPr>
    </w:p>
    <w:p w14:paraId="3BCA299C">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themeColor="text1"/>
          <w:sz w:val="30"/>
          <w:szCs w:val="30"/>
          <w:highlight w:val="none"/>
          <w:lang w:eastAsia="zh-CN"/>
          <w14:textFill>
            <w14:solidFill>
              <w14:schemeClr w14:val="tx1"/>
            </w14:solidFill>
          </w14:textFill>
        </w:rPr>
      </w:pPr>
      <w:r>
        <w:rPr>
          <w:rFonts w:hint="eastAsia" w:ascii="华文细黑" w:hAnsi="华文细黑" w:eastAsia="华文细黑" w:cs="华文细黑"/>
          <w:color w:val="000000" w:themeColor="text1"/>
          <w:sz w:val="30"/>
          <w:szCs w:val="30"/>
          <w:highlight w:val="none"/>
          <w:lang w:eastAsia="zh-CN"/>
          <w14:textFill>
            <w14:solidFill>
              <w14:schemeClr w14:val="tx1"/>
            </w14:solidFill>
          </w14:textFill>
        </w:rPr>
        <w:t>泉州工程职业技术学院于2013年11月经福建省人民政府批准设立，是一所全日制非营利性高等职业院校。学校坐落于海上丝绸之路起点、中国著名侨乡南安市，学校由南安市属国有企业泉州市南翼投资集团有限公司全资子公司南安市宏翔教育投资有限公司举办。</w:t>
      </w:r>
    </w:p>
    <w:p w14:paraId="6818F165">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themeColor="text1"/>
          <w:sz w:val="30"/>
          <w:szCs w:val="30"/>
          <w:highlight w:val="none"/>
          <w:lang w:val="en-US" w:eastAsia="zh-CN"/>
          <w14:textFill>
            <w14:solidFill>
              <w14:schemeClr w14:val="tx1"/>
            </w14:solidFill>
          </w14:textFill>
        </w:rPr>
      </w:pPr>
      <w:r>
        <w:rPr>
          <w:rFonts w:hint="eastAsia" w:ascii="华文细黑" w:hAnsi="华文细黑" w:eastAsia="华文细黑" w:cs="华文细黑"/>
          <w:color w:val="000000" w:themeColor="text1"/>
          <w:sz w:val="30"/>
          <w:szCs w:val="30"/>
          <w:highlight w:val="none"/>
          <w:lang w:eastAsia="zh-CN"/>
          <w14:textFill>
            <w14:solidFill>
              <w14:schemeClr w14:val="tx1"/>
            </w14:solidFill>
          </w14:textFill>
        </w:rPr>
        <w:t>学校依山傍水，风光旖旎，校区现有占地面积350多亩。设有智能制造学院、建筑工程学院、信息工程学院、商学院、航空旅游学院、低空经济产业学院</w:t>
      </w:r>
      <w:r>
        <w:rPr>
          <w:rFonts w:hint="default" w:ascii="华文细黑" w:hAnsi="华文细黑" w:eastAsia="华文细黑" w:cs="华文细黑"/>
          <w:color w:val="000000" w:themeColor="text1"/>
          <w:sz w:val="30"/>
          <w:szCs w:val="30"/>
          <w:highlight w:val="none"/>
          <w:lang w:eastAsia="zh-CN"/>
          <w14:textFill>
            <w14:solidFill>
              <w14:schemeClr w14:val="tx1"/>
            </w14:solidFill>
          </w14:textFill>
        </w:rPr>
        <w:t>、</w:t>
      </w:r>
      <w:r>
        <w:rPr>
          <w:rFonts w:hint="eastAsia" w:ascii="华文细黑" w:hAnsi="华文细黑" w:eastAsia="华文细黑" w:cs="华文细黑"/>
          <w:color w:val="000000" w:themeColor="text1"/>
          <w:sz w:val="30"/>
          <w:szCs w:val="30"/>
          <w:highlight w:val="none"/>
          <w:lang w:eastAsia="zh-CN"/>
          <w14:textFill>
            <w14:solidFill>
              <w14:schemeClr w14:val="tx1"/>
            </w14:solidFill>
          </w14:textFill>
        </w:rPr>
        <w:t>马克思主义学院</w:t>
      </w:r>
      <w:r>
        <w:rPr>
          <w:rFonts w:hint="default" w:ascii="华文细黑" w:hAnsi="华文细黑" w:eastAsia="华文细黑" w:cs="华文细黑"/>
          <w:color w:val="000000" w:themeColor="text1"/>
          <w:sz w:val="30"/>
          <w:szCs w:val="30"/>
          <w:highlight w:val="none"/>
          <w:lang w:eastAsia="zh-CN"/>
          <w14:textFill>
            <w14:solidFill>
              <w14:schemeClr w14:val="tx1"/>
            </w14:solidFill>
          </w14:textFill>
        </w:rPr>
        <w:t>、继续教育学院</w:t>
      </w:r>
      <w:r>
        <w:rPr>
          <w:rFonts w:hint="eastAsia" w:ascii="华文细黑" w:hAnsi="华文细黑" w:eastAsia="华文细黑" w:cs="华文细黑"/>
          <w:color w:val="000000" w:themeColor="text1"/>
          <w:sz w:val="30"/>
          <w:szCs w:val="30"/>
          <w:highlight w:val="none"/>
          <w:lang w:eastAsia="zh-CN"/>
          <w14:textFill>
            <w14:solidFill>
              <w14:schemeClr w14:val="tx1"/>
            </w14:solidFill>
          </w14:textFill>
        </w:rPr>
        <w:t>等</w:t>
      </w:r>
      <w:r>
        <w:rPr>
          <w:rFonts w:hint="default" w:ascii="华文细黑" w:hAnsi="华文细黑" w:eastAsia="华文细黑" w:cs="华文细黑"/>
          <w:color w:val="000000" w:themeColor="text1"/>
          <w:sz w:val="30"/>
          <w:szCs w:val="30"/>
          <w:highlight w:val="none"/>
          <w:lang w:eastAsia="zh-CN"/>
          <w14:textFill>
            <w14:solidFill>
              <w14:schemeClr w14:val="tx1"/>
            </w14:solidFill>
          </w14:textFill>
        </w:rPr>
        <w:t>八</w:t>
      </w:r>
      <w:r>
        <w:rPr>
          <w:rFonts w:hint="eastAsia" w:ascii="华文细黑" w:hAnsi="华文细黑" w:eastAsia="华文细黑" w:cs="华文细黑"/>
          <w:color w:val="000000" w:themeColor="text1"/>
          <w:sz w:val="30"/>
          <w:szCs w:val="30"/>
          <w:highlight w:val="none"/>
          <w:lang w:eastAsia="zh-CN"/>
          <w14:textFill>
            <w14:solidFill>
              <w14:schemeClr w14:val="tx1"/>
            </w14:solidFill>
          </w14:textFill>
        </w:rPr>
        <w:t>个学院和公共基础部，开设有工业机器人技术、机电一体化技术、汽车制造与试验技术、新能源装备技术、智能产品开发与应用、无人机技术应用、工业节能技术、新能源汽车技术、建设工程管理、建筑装饰工程技术、市政工程技术、人工智能技术应用、软件技术、大数据技术、大数据与财务管理、药品经营与管理、电子商务、现代物流管理、网络营销与直播电商、空中乘务、飞机机电设备维修、物联网应用技术、移动互联应用技术等</w:t>
      </w:r>
      <w:r>
        <w:rPr>
          <w:rFonts w:hint="eastAsia" w:ascii="华文细黑" w:hAnsi="华文细黑" w:eastAsia="华文细黑" w:cs="华文细黑"/>
          <w:color w:val="000000" w:themeColor="text1"/>
          <w:sz w:val="30"/>
          <w:szCs w:val="30"/>
          <w:highlight w:val="none"/>
          <w:lang w:val="en-US" w:eastAsia="zh-CN"/>
          <w14:textFill>
            <w14:solidFill>
              <w14:schemeClr w14:val="tx1"/>
            </w14:solidFill>
          </w14:textFill>
        </w:rPr>
        <w:t>23</w:t>
      </w:r>
      <w:r>
        <w:rPr>
          <w:rFonts w:hint="eastAsia" w:ascii="华文细黑" w:hAnsi="华文细黑" w:eastAsia="华文细黑" w:cs="华文细黑"/>
          <w:color w:val="000000" w:themeColor="text1"/>
          <w:sz w:val="30"/>
          <w:szCs w:val="30"/>
          <w:highlight w:val="none"/>
          <w:lang w:eastAsia="zh-CN"/>
          <w14:textFill>
            <w14:solidFill>
              <w14:schemeClr w14:val="tx1"/>
            </w14:solidFill>
          </w14:textFill>
        </w:rPr>
        <w:t>个三年制高等职业教育专科专业，围绕国家发展战略、地方经济高质量发展，深化产教融合，加强校企合作，实行工学结合、知行合一，塑造专业（群）品牌，培养区域经济和社会事业发展亟需的高素质技术技能人才。</w:t>
      </w:r>
    </w:p>
    <w:p w14:paraId="4FEAB785">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lang w:val="en-US" w:eastAsia="zh-CN"/>
        </w:rPr>
      </w:pPr>
      <w:r>
        <w:rPr>
          <w:rFonts w:hint="eastAsia" w:ascii="华文细黑" w:hAnsi="华文细黑" w:eastAsia="华文细黑" w:cs="华文细黑"/>
          <w:color w:val="000000"/>
          <w:sz w:val="30"/>
          <w:szCs w:val="30"/>
          <w:highlight w:val="none"/>
          <w:lang w:val="en-US" w:eastAsia="zh-CN"/>
        </w:rPr>
        <w:t>一、招聘岗位及应聘条件</w:t>
      </w:r>
    </w:p>
    <w:p w14:paraId="6FBAAC65">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8"/>
        <w:tblW w:w="10950"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50"/>
        <w:gridCol w:w="1066"/>
        <w:gridCol w:w="576"/>
        <w:gridCol w:w="516"/>
        <w:gridCol w:w="1000"/>
        <w:gridCol w:w="484"/>
        <w:gridCol w:w="666"/>
        <w:gridCol w:w="699"/>
        <w:gridCol w:w="1162"/>
        <w:gridCol w:w="4331"/>
      </w:tblGrid>
      <w:tr w14:paraId="2C726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450" w:type="dxa"/>
            <w:vMerge w:val="restart"/>
            <w:tcBorders>
              <w:tl2br w:val="nil"/>
              <w:tr2bl w:val="nil"/>
            </w:tcBorders>
            <w:shd w:val="clear" w:color="auto" w:fill="auto"/>
            <w:vAlign w:val="center"/>
          </w:tcPr>
          <w:p w14:paraId="51844369">
            <w:pPr>
              <w:keepNext w:val="0"/>
              <w:keepLines w:val="0"/>
              <w:widowControl/>
              <w:suppressLineNumbers w:val="0"/>
              <w:jc w:val="center"/>
              <w:textAlignment w:val="center"/>
              <w:rPr>
                <w:rFonts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序号</w:t>
            </w:r>
          </w:p>
        </w:tc>
        <w:tc>
          <w:tcPr>
            <w:tcW w:w="1066" w:type="dxa"/>
            <w:vMerge w:val="restart"/>
            <w:tcBorders>
              <w:tl2br w:val="nil"/>
              <w:tr2bl w:val="nil"/>
            </w:tcBorders>
            <w:shd w:val="clear" w:color="auto" w:fill="auto"/>
            <w:vAlign w:val="center"/>
          </w:tcPr>
          <w:p w14:paraId="55FDC550">
            <w:pPr>
              <w:keepNext w:val="0"/>
              <w:keepLines w:val="0"/>
              <w:widowControl/>
              <w:suppressLineNumbers w:val="0"/>
              <w:jc w:val="center"/>
              <w:textAlignment w:val="center"/>
              <w:rPr>
                <w:rFonts w:hint="eastAsia"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部门</w:t>
            </w:r>
          </w:p>
        </w:tc>
        <w:tc>
          <w:tcPr>
            <w:tcW w:w="576" w:type="dxa"/>
            <w:vMerge w:val="restart"/>
            <w:tcBorders>
              <w:tl2br w:val="nil"/>
              <w:tr2bl w:val="nil"/>
            </w:tcBorders>
            <w:shd w:val="clear" w:color="auto" w:fill="auto"/>
            <w:vAlign w:val="center"/>
          </w:tcPr>
          <w:p w14:paraId="6958FECA">
            <w:pPr>
              <w:keepNext w:val="0"/>
              <w:keepLines w:val="0"/>
              <w:widowControl/>
              <w:suppressLineNumbers w:val="0"/>
              <w:jc w:val="center"/>
              <w:textAlignment w:val="center"/>
              <w:rPr>
                <w:rFonts w:hint="eastAsia"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岗位名称</w:t>
            </w:r>
          </w:p>
        </w:tc>
        <w:tc>
          <w:tcPr>
            <w:tcW w:w="516" w:type="dxa"/>
            <w:vMerge w:val="restart"/>
            <w:tcBorders>
              <w:tl2br w:val="nil"/>
              <w:tr2bl w:val="nil"/>
            </w:tcBorders>
            <w:shd w:val="clear" w:color="auto" w:fill="auto"/>
            <w:vAlign w:val="center"/>
          </w:tcPr>
          <w:p w14:paraId="0236662E">
            <w:pPr>
              <w:keepNext w:val="0"/>
              <w:keepLines w:val="0"/>
              <w:widowControl/>
              <w:suppressLineNumbers w:val="0"/>
              <w:jc w:val="center"/>
              <w:textAlignment w:val="center"/>
              <w:rPr>
                <w:rFonts w:hint="eastAsia"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招聘                                               人数</w:t>
            </w:r>
          </w:p>
        </w:tc>
        <w:tc>
          <w:tcPr>
            <w:tcW w:w="8342" w:type="dxa"/>
            <w:gridSpan w:val="6"/>
            <w:tcBorders>
              <w:tl2br w:val="nil"/>
              <w:tr2bl w:val="nil"/>
            </w:tcBorders>
            <w:shd w:val="clear" w:color="auto" w:fill="auto"/>
            <w:vAlign w:val="center"/>
          </w:tcPr>
          <w:p w14:paraId="7D521D9D">
            <w:pPr>
              <w:keepNext w:val="0"/>
              <w:keepLines w:val="0"/>
              <w:widowControl/>
              <w:suppressLineNumbers w:val="0"/>
              <w:jc w:val="center"/>
              <w:textAlignment w:val="center"/>
              <w:rPr>
                <w:rFonts w:hint="eastAsia"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所需资格条件</w:t>
            </w:r>
          </w:p>
        </w:tc>
      </w:tr>
      <w:tr w14:paraId="1BB8E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trPr>
        <w:tc>
          <w:tcPr>
            <w:tcW w:w="450" w:type="dxa"/>
            <w:vMerge w:val="continue"/>
            <w:tcBorders>
              <w:tl2br w:val="nil"/>
              <w:tr2bl w:val="nil"/>
            </w:tcBorders>
            <w:shd w:val="clear" w:color="auto" w:fill="auto"/>
            <w:vAlign w:val="center"/>
          </w:tcPr>
          <w:p w14:paraId="3FA45B83">
            <w:pPr>
              <w:jc w:val="center"/>
              <w:rPr>
                <w:rFonts w:hint="eastAsia" w:ascii="华文细黑" w:hAnsi="华文细黑" w:eastAsia="华文细黑" w:cs="华文细黑"/>
                <w:b/>
                <w:bCs/>
                <w:i w:val="0"/>
                <w:iCs w:val="0"/>
                <w:color w:val="000000"/>
                <w:sz w:val="22"/>
                <w:szCs w:val="22"/>
                <w:u w:val="none"/>
              </w:rPr>
            </w:pPr>
          </w:p>
        </w:tc>
        <w:tc>
          <w:tcPr>
            <w:tcW w:w="1066" w:type="dxa"/>
            <w:vMerge w:val="continue"/>
            <w:tcBorders>
              <w:tl2br w:val="nil"/>
              <w:tr2bl w:val="nil"/>
            </w:tcBorders>
            <w:shd w:val="clear" w:color="auto" w:fill="auto"/>
            <w:vAlign w:val="center"/>
          </w:tcPr>
          <w:p w14:paraId="2D2A5616">
            <w:pPr>
              <w:jc w:val="center"/>
              <w:rPr>
                <w:rFonts w:hint="eastAsia" w:ascii="华文细黑" w:hAnsi="华文细黑" w:eastAsia="华文细黑" w:cs="华文细黑"/>
                <w:b/>
                <w:bCs/>
                <w:i w:val="0"/>
                <w:iCs w:val="0"/>
                <w:color w:val="000000"/>
                <w:sz w:val="22"/>
                <w:szCs w:val="22"/>
                <w:u w:val="none"/>
              </w:rPr>
            </w:pPr>
          </w:p>
        </w:tc>
        <w:tc>
          <w:tcPr>
            <w:tcW w:w="576" w:type="dxa"/>
            <w:vMerge w:val="continue"/>
            <w:tcBorders>
              <w:tl2br w:val="nil"/>
              <w:tr2bl w:val="nil"/>
            </w:tcBorders>
            <w:shd w:val="clear" w:color="auto" w:fill="auto"/>
            <w:vAlign w:val="center"/>
          </w:tcPr>
          <w:p w14:paraId="4B961F3F">
            <w:pPr>
              <w:jc w:val="center"/>
              <w:rPr>
                <w:rFonts w:hint="eastAsia" w:ascii="华文细黑" w:hAnsi="华文细黑" w:eastAsia="华文细黑" w:cs="华文细黑"/>
                <w:b/>
                <w:bCs/>
                <w:i w:val="0"/>
                <w:iCs w:val="0"/>
                <w:color w:val="000000"/>
                <w:sz w:val="22"/>
                <w:szCs w:val="22"/>
                <w:u w:val="none"/>
              </w:rPr>
            </w:pPr>
          </w:p>
        </w:tc>
        <w:tc>
          <w:tcPr>
            <w:tcW w:w="516" w:type="dxa"/>
            <w:vMerge w:val="continue"/>
            <w:tcBorders>
              <w:tl2br w:val="nil"/>
              <w:tr2bl w:val="nil"/>
            </w:tcBorders>
            <w:shd w:val="clear" w:color="auto" w:fill="auto"/>
            <w:vAlign w:val="center"/>
          </w:tcPr>
          <w:p w14:paraId="6864D17F">
            <w:pPr>
              <w:jc w:val="center"/>
              <w:rPr>
                <w:rFonts w:hint="eastAsia" w:ascii="华文细黑" w:hAnsi="华文细黑" w:eastAsia="华文细黑" w:cs="华文细黑"/>
                <w:b/>
                <w:bCs/>
                <w:i w:val="0"/>
                <w:iCs w:val="0"/>
                <w:color w:val="000000"/>
                <w:sz w:val="22"/>
                <w:szCs w:val="22"/>
                <w:u w:val="none"/>
              </w:rPr>
            </w:pPr>
          </w:p>
        </w:tc>
        <w:tc>
          <w:tcPr>
            <w:tcW w:w="1000" w:type="dxa"/>
            <w:tcBorders>
              <w:tl2br w:val="nil"/>
              <w:tr2bl w:val="nil"/>
            </w:tcBorders>
            <w:shd w:val="clear" w:color="auto" w:fill="auto"/>
            <w:vAlign w:val="center"/>
          </w:tcPr>
          <w:p w14:paraId="72D3F25F">
            <w:pPr>
              <w:keepNext w:val="0"/>
              <w:keepLines w:val="0"/>
              <w:widowControl/>
              <w:suppressLineNumbers w:val="0"/>
              <w:jc w:val="center"/>
              <w:textAlignment w:val="center"/>
              <w:rPr>
                <w:rFonts w:hint="eastAsia" w:ascii="黑体" w:hAnsi="宋体" w:eastAsia="黑体" w:cs="黑体"/>
                <w:b/>
                <w:bCs/>
                <w:i w:val="0"/>
                <w:iCs w:val="0"/>
                <w:color w:val="000000"/>
                <w:kern w:val="0"/>
                <w:sz w:val="22"/>
                <w:szCs w:val="22"/>
                <w:u w:val="none"/>
                <w:lang w:val="en-US" w:eastAsia="zh-CN" w:bidi="ar"/>
              </w:rPr>
            </w:pPr>
            <w:r>
              <w:rPr>
                <w:rFonts w:hint="eastAsia" w:ascii="黑体" w:hAnsi="宋体" w:eastAsia="黑体" w:cs="黑体"/>
                <w:b/>
                <w:bCs/>
                <w:i w:val="0"/>
                <w:iCs w:val="0"/>
                <w:color w:val="000000"/>
                <w:kern w:val="0"/>
                <w:sz w:val="22"/>
                <w:szCs w:val="22"/>
                <w:u w:val="none"/>
                <w:lang w:val="en-US" w:eastAsia="zh-CN" w:bidi="ar"/>
              </w:rPr>
              <w:t>年龄</w:t>
            </w:r>
          </w:p>
          <w:p w14:paraId="41677784">
            <w:pPr>
              <w:keepNext w:val="0"/>
              <w:keepLines w:val="0"/>
              <w:widowControl/>
              <w:suppressLineNumbers w:val="0"/>
              <w:jc w:val="center"/>
              <w:textAlignment w:val="center"/>
              <w:rPr>
                <w:rFonts w:hint="eastAsia"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要求</w:t>
            </w:r>
          </w:p>
        </w:tc>
        <w:tc>
          <w:tcPr>
            <w:tcW w:w="484" w:type="dxa"/>
            <w:tcBorders>
              <w:tl2br w:val="nil"/>
              <w:tr2bl w:val="nil"/>
            </w:tcBorders>
            <w:shd w:val="clear" w:color="auto" w:fill="auto"/>
            <w:vAlign w:val="center"/>
          </w:tcPr>
          <w:p w14:paraId="6616A0A9">
            <w:pPr>
              <w:keepNext w:val="0"/>
              <w:keepLines w:val="0"/>
              <w:widowControl/>
              <w:suppressLineNumbers w:val="0"/>
              <w:jc w:val="center"/>
              <w:textAlignment w:val="center"/>
              <w:rPr>
                <w:rFonts w:hint="eastAsia"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性别</w:t>
            </w:r>
          </w:p>
        </w:tc>
        <w:tc>
          <w:tcPr>
            <w:tcW w:w="666" w:type="dxa"/>
            <w:tcBorders>
              <w:tl2br w:val="nil"/>
              <w:tr2bl w:val="nil"/>
            </w:tcBorders>
            <w:shd w:val="clear" w:color="auto" w:fill="auto"/>
            <w:vAlign w:val="center"/>
          </w:tcPr>
          <w:p w14:paraId="1A08371E">
            <w:pPr>
              <w:keepNext w:val="0"/>
              <w:keepLines w:val="0"/>
              <w:widowControl/>
              <w:suppressLineNumbers w:val="0"/>
              <w:jc w:val="center"/>
              <w:textAlignment w:val="center"/>
              <w:rPr>
                <w:rFonts w:hint="eastAsia"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学历要求</w:t>
            </w:r>
          </w:p>
        </w:tc>
        <w:tc>
          <w:tcPr>
            <w:tcW w:w="699" w:type="dxa"/>
            <w:tcBorders>
              <w:tl2br w:val="nil"/>
              <w:tr2bl w:val="nil"/>
            </w:tcBorders>
            <w:shd w:val="clear" w:color="auto" w:fill="auto"/>
            <w:vAlign w:val="center"/>
          </w:tcPr>
          <w:p w14:paraId="0D65B6EF">
            <w:pPr>
              <w:keepNext w:val="0"/>
              <w:keepLines w:val="0"/>
              <w:widowControl/>
              <w:suppressLineNumbers w:val="0"/>
              <w:jc w:val="center"/>
              <w:textAlignment w:val="center"/>
            </w:pPr>
            <w:r>
              <w:rPr>
                <w:rFonts w:hint="eastAsia" w:ascii="黑体" w:hAnsi="宋体" w:eastAsia="黑体" w:cs="黑体"/>
                <w:b/>
                <w:bCs/>
                <w:i w:val="0"/>
                <w:iCs w:val="0"/>
                <w:color w:val="000000"/>
                <w:kern w:val="0"/>
                <w:sz w:val="22"/>
                <w:szCs w:val="22"/>
                <w:u w:val="none"/>
                <w:lang w:val="en-US" w:eastAsia="zh-CN" w:bidi="ar"/>
              </w:rPr>
              <w:t>学位要求</w:t>
            </w:r>
          </w:p>
        </w:tc>
        <w:tc>
          <w:tcPr>
            <w:tcW w:w="1162" w:type="dxa"/>
            <w:tcBorders>
              <w:tl2br w:val="nil"/>
              <w:tr2bl w:val="nil"/>
            </w:tcBorders>
            <w:shd w:val="clear" w:color="auto" w:fill="auto"/>
            <w:vAlign w:val="center"/>
          </w:tcPr>
          <w:p w14:paraId="51CC2F4A">
            <w:pPr>
              <w:keepNext w:val="0"/>
              <w:keepLines w:val="0"/>
              <w:widowControl/>
              <w:suppressLineNumbers w:val="0"/>
              <w:jc w:val="center"/>
              <w:textAlignment w:val="center"/>
              <w:rPr>
                <w:rFonts w:hint="eastAsia"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专业要求</w:t>
            </w:r>
          </w:p>
        </w:tc>
        <w:tc>
          <w:tcPr>
            <w:tcW w:w="4331" w:type="dxa"/>
            <w:tcBorders>
              <w:tl2br w:val="nil"/>
              <w:tr2bl w:val="nil"/>
            </w:tcBorders>
            <w:shd w:val="clear" w:color="auto" w:fill="auto"/>
            <w:vAlign w:val="center"/>
          </w:tcPr>
          <w:p w14:paraId="306605F7">
            <w:pPr>
              <w:keepNext w:val="0"/>
              <w:keepLines w:val="0"/>
              <w:widowControl/>
              <w:suppressLineNumbers w:val="0"/>
              <w:jc w:val="center"/>
              <w:textAlignment w:val="center"/>
              <w:rPr>
                <w:rFonts w:hint="eastAsia" w:ascii="华文细黑" w:hAnsi="华文细黑" w:eastAsia="华文细黑" w:cs="华文细黑"/>
                <w:b/>
                <w:bCs/>
                <w:i w:val="0"/>
                <w:iCs w:val="0"/>
                <w:color w:val="000000"/>
                <w:sz w:val="22"/>
                <w:szCs w:val="22"/>
                <w:u w:val="none"/>
              </w:rPr>
            </w:pPr>
            <w:r>
              <w:rPr>
                <w:rFonts w:hint="eastAsia" w:ascii="黑体" w:hAnsi="宋体" w:eastAsia="黑体" w:cs="黑体"/>
                <w:b/>
                <w:bCs/>
                <w:i w:val="0"/>
                <w:iCs w:val="0"/>
                <w:color w:val="000000"/>
                <w:kern w:val="0"/>
                <w:sz w:val="22"/>
                <w:szCs w:val="22"/>
                <w:u w:val="none"/>
                <w:lang w:val="en-US" w:eastAsia="zh-CN" w:bidi="ar"/>
              </w:rPr>
              <w:t>条件要求</w:t>
            </w:r>
          </w:p>
        </w:tc>
      </w:tr>
      <w:tr w14:paraId="1B386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1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F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科研处（校企合作办）</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C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处长</w:t>
            </w: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2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7A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63周岁及以下（1962年9月以后出生）</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2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6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本科及以上</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E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F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机械类,能源动力类,电子信息类,通信信息类,电气自动化类,计算机科学与技术类,土建类,交通运输类,工程力学类</w:t>
            </w:r>
          </w:p>
        </w:tc>
        <w:tc>
          <w:tcPr>
            <w:tcW w:w="4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89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1.具有6年及以上高校科研管理或重要科研项目组织实施经验，并具有副高级及以上职称；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2.熟悉高校科研发展规律、科研政策与项目管理流程，具备较强的科研组织、规划协调和资源配置能力；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3.具备出色的对外联络、沟通谈判和团队领导能力，能够有效推动校企合作、跨学科协同创新，提升学校整体科研水平与社会服务能力；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4.具有敏锐的科研发展洞察力，能积极推动科研管理机制改革与创新，激发科研活力；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5.同等条件下，具有以下条件之一的优先录取：①具有正高级职称的；②具有硕士研究生及以上学历；③具有国家级科研项目主持经验、重大科研成果转化经验者。</w:t>
            </w:r>
          </w:p>
        </w:tc>
      </w:tr>
      <w:tr w14:paraId="12BB6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5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66" w:type="dxa"/>
            <w:tcBorders>
              <w:top w:val="nil"/>
              <w:left w:val="single" w:color="000000" w:sz="4" w:space="0"/>
              <w:bottom w:val="single" w:color="000000" w:sz="4" w:space="0"/>
              <w:right w:val="single" w:color="000000" w:sz="4" w:space="0"/>
            </w:tcBorders>
            <w:shd w:val="clear" w:color="auto" w:fill="auto"/>
            <w:vAlign w:val="center"/>
          </w:tcPr>
          <w:p w14:paraId="20D33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图书馆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9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馆长</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0E8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4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63周岁及以下（1962年9月以后出生）</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6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E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本科及以上</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5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2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图书档案学类</w:t>
            </w:r>
          </w:p>
        </w:tc>
        <w:tc>
          <w:tcPr>
            <w:tcW w:w="4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292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1.具有5年及以上高校图书馆管理经验，并具有副高级及以上职称；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2.熟悉图书馆信息资源建设、服务与管理流程，具备现代图书馆业务水平和组织管理能力；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3.具备较强的沟通协调能力和创新意识，能推动图书馆服务与数字化转型，提升服务效能；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4.同等条件下，具有以下条件之一的优先录取：①具有正高级职称的；②具有图书馆学、情报学等相关专业硕士研究生及以上学历者。</w:t>
            </w:r>
          </w:p>
        </w:tc>
      </w:tr>
      <w:tr w14:paraId="2A4D7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9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66" w:type="dxa"/>
            <w:tcBorders>
              <w:top w:val="nil"/>
              <w:left w:val="single" w:color="000000" w:sz="4" w:space="0"/>
              <w:bottom w:val="single" w:color="auto" w:sz="4" w:space="0"/>
              <w:right w:val="single" w:color="000000" w:sz="4" w:space="0"/>
            </w:tcBorders>
            <w:shd w:val="clear" w:color="auto" w:fill="auto"/>
            <w:vAlign w:val="center"/>
          </w:tcPr>
          <w:p w14:paraId="34EBE5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低空</w:t>
            </w:r>
          </w:p>
          <w:p w14:paraId="598F1E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经济</w:t>
            </w:r>
          </w:p>
          <w:p w14:paraId="69DF8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学院</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B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院长</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8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2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63周岁及以下（1962年9月以后出生）</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23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0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以上</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3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C8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机械类，电气自动化类，航空航天类，民航运输类</w:t>
            </w:r>
          </w:p>
        </w:tc>
        <w:tc>
          <w:tcPr>
            <w:tcW w:w="4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6D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1.具有高校教学管理6年及以上工作经验，并具有副高级及以上职称；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2.能胜任低空经济产业学院的行政管理、专业建设、人才培养等相关工作；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3.语言表达能力强，普通话标准，熟练使用办公软件；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4.具有丰富的教学管理经验和组织实施能力；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5.服从安排，具有协调配合精神；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6.同等条件下，具有以下条件之一的优先录取：①具有正高级职称的；②具有硕士研究生及以上学历。</w:t>
            </w:r>
          </w:p>
        </w:tc>
      </w:tr>
      <w:tr w14:paraId="2A124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450" w:type="dxa"/>
            <w:tcBorders>
              <w:top w:val="single" w:color="000000" w:sz="4" w:space="0"/>
              <w:left w:val="single" w:color="000000" w:sz="4" w:space="0"/>
              <w:bottom w:val="single" w:color="000000" w:sz="4" w:space="0"/>
              <w:right w:val="single" w:color="auto" w:sz="4" w:space="0"/>
            </w:tcBorders>
            <w:shd w:val="clear" w:color="auto" w:fill="auto"/>
            <w:vAlign w:val="center"/>
          </w:tcPr>
          <w:p w14:paraId="0ACE1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66" w:type="dxa"/>
            <w:tcBorders>
              <w:top w:val="single" w:color="auto" w:sz="4" w:space="0"/>
              <w:left w:val="single" w:color="auto" w:sz="4" w:space="0"/>
              <w:bottom w:val="single" w:color="auto" w:sz="4" w:space="0"/>
              <w:right w:val="single" w:color="auto" w:sz="4" w:space="0"/>
            </w:tcBorders>
            <w:shd w:val="clear" w:color="auto" w:fill="auto"/>
            <w:vAlign w:val="center"/>
          </w:tcPr>
          <w:p w14:paraId="2DBF23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智能</w:t>
            </w:r>
          </w:p>
          <w:p w14:paraId="7E7A42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w:t>
            </w:r>
          </w:p>
          <w:p w14:paraId="5F8E8B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学院</w:t>
            </w:r>
          </w:p>
        </w:tc>
        <w:tc>
          <w:tcPr>
            <w:tcW w:w="576" w:type="dxa"/>
            <w:tcBorders>
              <w:top w:val="single" w:color="000000" w:sz="4" w:space="0"/>
              <w:left w:val="single" w:color="auto" w:sz="4" w:space="0"/>
              <w:bottom w:val="single" w:color="000000" w:sz="4" w:space="0"/>
              <w:right w:val="single" w:color="000000" w:sz="4" w:space="0"/>
            </w:tcBorders>
            <w:shd w:val="clear" w:color="auto" w:fill="auto"/>
            <w:vAlign w:val="center"/>
          </w:tcPr>
          <w:p w14:paraId="51290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汽车专业带头人</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7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B3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63周岁及以下（1962年9月以后出生）</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6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96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以上</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9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1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机械类，电气自动化类</w:t>
            </w:r>
          </w:p>
        </w:tc>
        <w:tc>
          <w:tcPr>
            <w:tcW w:w="4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4B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1.具有机械制造、汽车行业或高校教学8年及以上工作经验，并具有副高级及以上职称；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2.能胜任智能制造学院专业建设和相关课程教学工作；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3.语言表达能力强，普通话标准，熟练使用办公软件；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4.擅长与学生沟通交流，课堂管理控制能力强，责任心强，抗压能力强；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5.服从安排，具有协调配合精神；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6.同等条件下，具有以下条件之一的优先录取：①具有正高级职称的；②具有硕士研究生及以上学历。</w:t>
            </w:r>
          </w:p>
        </w:tc>
      </w:tr>
      <w:tr w14:paraId="2D1A9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2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66" w:type="dxa"/>
            <w:tcBorders>
              <w:top w:val="single" w:color="auto" w:sz="4" w:space="0"/>
              <w:left w:val="single" w:color="000000" w:sz="4" w:space="0"/>
              <w:bottom w:val="single" w:color="000000" w:sz="4" w:space="0"/>
              <w:right w:val="single" w:color="000000" w:sz="4" w:space="0"/>
            </w:tcBorders>
            <w:shd w:val="clear" w:color="auto" w:fill="auto"/>
            <w:vAlign w:val="center"/>
          </w:tcPr>
          <w:p w14:paraId="5DF390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智能</w:t>
            </w:r>
          </w:p>
          <w:p w14:paraId="53B312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w:t>
            </w:r>
          </w:p>
          <w:p w14:paraId="050A7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学院</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AF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新能源装备技术带头人</w:t>
            </w:r>
          </w:p>
        </w:tc>
        <w:tc>
          <w:tcPr>
            <w:tcW w:w="5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D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0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63周岁及以下（1962年9月以后出生）</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76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D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以上</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D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E2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机械类，电气自动化类，能源动力类</w:t>
            </w:r>
          </w:p>
        </w:tc>
        <w:tc>
          <w:tcPr>
            <w:tcW w:w="4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9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1.具有机械制造行业或高校教学8年及以上工作经验，并具有副高级及以上职称；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2.能主导新能源装备技术专业建设、课程体系优化及实训基地搭建工作；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3.语言表达能力强，普通话标准，熟练使用专业设计软件与办公软件；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4.擅长与学生沟通交流、课堂管理控制能力强，具有协调配合精神；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5.同等条件下，具有以下条件之一的优先录取：①具有正高级职称的；②具有硕士研究生及以上学历；③取得重大项目成果者。</w:t>
            </w:r>
          </w:p>
        </w:tc>
      </w:tr>
      <w:tr w14:paraId="656BC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450" w:type="dxa"/>
            <w:tcBorders>
              <w:top w:val="single" w:color="000000" w:sz="4" w:space="0"/>
              <w:left w:val="single" w:color="000000" w:sz="4" w:space="0"/>
              <w:bottom w:val="single" w:color="auto" w:sz="4" w:space="0"/>
              <w:right w:val="single" w:color="000000" w:sz="4" w:space="0"/>
            </w:tcBorders>
            <w:shd w:val="clear" w:color="auto" w:fill="auto"/>
            <w:vAlign w:val="center"/>
          </w:tcPr>
          <w:p w14:paraId="57E5B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66" w:type="dxa"/>
            <w:tcBorders>
              <w:top w:val="nil"/>
              <w:left w:val="single" w:color="000000" w:sz="4" w:space="0"/>
              <w:bottom w:val="single" w:color="auto" w:sz="4" w:space="0"/>
              <w:right w:val="single" w:color="000000" w:sz="4" w:space="0"/>
            </w:tcBorders>
            <w:shd w:val="clear" w:color="auto" w:fill="auto"/>
            <w:vAlign w:val="center"/>
          </w:tcPr>
          <w:p w14:paraId="0D803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发展规划与质量管理处（评估中心)</w:t>
            </w: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734CF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督导室主任</w:t>
            </w:r>
          </w:p>
        </w:tc>
        <w:tc>
          <w:tcPr>
            <w:tcW w:w="51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FB09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0" w:type="dxa"/>
            <w:tcBorders>
              <w:top w:val="single" w:color="000000" w:sz="4" w:space="0"/>
              <w:left w:val="single" w:color="000000" w:sz="4" w:space="0"/>
              <w:bottom w:val="single" w:color="auto" w:sz="4" w:space="0"/>
              <w:right w:val="single" w:color="000000" w:sz="4" w:space="0"/>
            </w:tcBorders>
            <w:shd w:val="clear" w:color="auto" w:fill="auto"/>
            <w:vAlign w:val="center"/>
          </w:tcPr>
          <w:p w14:paraId="3D2AD4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63周岁及以下（1962年9月以后出生）</w:t>
            </w:r>
          </w:p>
        </w:tc>
        <w:tc>
          <w:tcPr>
            <w:tcW w:w="48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738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1041B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以上</w:t>
            </w:r>
          </w:p>
        </w:tc>
        <w:tc>
          <w:tcPr>
            <w:tcW w:w="699" w:type="dxa"/>
            <w:tcBorders>
              <w:top w:val="single" w:color="000000" w:sz="4" w:space="0"/>
              <w:left w:val="single" w:color="000000" w:sz="4" w:space="0"/>
              <w:bottom w:val="single" w:color="auto" w:sz="4" w:space="0"/>
              <w:right w:val="single" w:color="000000" w:sz="4" w:space="0"/>
            </w:tcBorders>
            <w:shd w:val="clear" w:color="auto" w:fill="auto"/>
            <w:vAlign w:val="center"/>
          </w:tcPr>
          <w:p w14:paraId="7BB63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1162" w:type="dxa"/>
            <w:tcBorders>
              <w:top w:val="single" w:color="000000" w:sz="4" w:space="0"/>
              <w:left w:val="single" w:color="000000" w:sz="4" w:space="0"/>
              <w:bottom w:val="single" w:color="auto" w:sz="4" w:space="0"/>
              <w:right w:val="single" w:color="000000" w:sz="4" w:space="0"/>
            </w:tcBorders>
            <w:shd w:val="clear" w:color="auto" w:fill="auto"/>
            <w:vAlign w:val="center"/>
          </w:tcPr>
          <w:p w14:paraId="4AAE8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4331" w:type="dxa"/>
            <w:tcBorders>
              <w:top w:val="single" w:color="000000" w:sz="4" w:space="0"/>
              <w:left w:val="single" w:color="000000" w:sz="4" w:space="0"/>
              <w:bottom w:val="single" w:color="auto" w:sz="4" w:space="0"/>
              <w:right w:val="single" w:color="000000" w:sz="4" w:space="0"/>
            </w:tcBorders>
            <w:shd w:val="clear" w:color="auto" w:fill="auto"/>
            <w:vAlign w:val="center"/>
          </w:tcPr>
          <w:p w14:paraId="13EB0F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1.具有高校督导5年及以上工作经验，并具有副高级及以上职称；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2.能够胜任学校教学督导管理工作，具有较强沟通协调能力和团队协作能力，有较强的责任心和执行力；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3.熟悉使用办公软件，具有较强的文字写作能力；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4.服从学校安排，完成学校交办的其他临时性工作；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5.同等条件下，具有以下条件之一的优先录取：①具有正高级职称的；②具有硕士研究生及以上学历。</w:t>
            </w:r>
          </w:p>
        </w:tc>
      </w:tr>
      <w:tr w14:paraId="498B7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450" w:type="dxa"/>
            <w:tcBorders>
              <w:top w:val="single" w:color="auto" w:sz="4" w:space="0"/>
              <w:left w:val="single" w:color="auto" w:sz="4" w:space="0"/>
              <w:bottom w:val="single" w:color="auto" w:sz="4" w:space="0"/>
              <w:right w:val="single" w:color="000000" w:sz="4" w:space="0"/>
            </w:tcBorders>
            <w:shd w:val="clear" w:color="auto" w:fill="auto"/>
            <w:vAlign w:val="center"/>
          </w:tcPr>
          <w:p w14:paraId="35DB9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66" w:type="dxa"/>
            <w:tcBorders>
              <w:top w:val="single" w:color="auto" w:sz="4" w:space="0"/>
              <w:left w:val="single" w:color="000000" w:sz="4" w:space="0"/>
              <w:bottom w:val="single" w:color="auto" w:sz="4" w:space="0"/>
              <w:right w:val="single" w:color="000000" w:sz="4" w:space="0"/>
            </w:tcBorders>
            <w:shd w:val="clear" w:color="auto" w:fill="auto"/>
            <w:vAlign w:val="center"/>
          </w:tcPr>
          <w:p w14:paraId="64C1C6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发展规划与质量管理处（评估中心)</w:t>
            </w:r>
          </w:p>
        </w:tc>
        <w:tc>
          <w:tcPr>
            <w:tcW w:w="576" w:type="dxa"/>
            <w:tcBorders>
              <w:top w:val="single" w:color="auto" w:sz="4" w:space="0"/>
              <w:left w:val="single" w:color="000000" w:sz="4" w:space="0"/>
              <w:bottom w:val="single" w:color="auto" w:sz="4" w:space="0"/>
              <w:right w:val="single" w:color="000000" w:sz="4" w:space="0"/>
            </w:tcBorders>
            <w:shd w:val="clear" w:color="auto" w:fill="auto"/>
            <w:vAlign w:val="center"/>
          </w:tcPr>
          <w:p w14:paraId="15A447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督导员</w:t>
            </w:r>
          </w:p>
        </w:tc>
        <w:tc>
          <w:tcPr>
            <w:tcW w:w="51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5486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00" w:type="dxa"/>
            <w:tcBorders>
              <w:top w:val="single" w:color="auto" w:sz="4" w:space="0"/>
              <w:left w:val="single" w:color="000000" w:sz="4" w:space="0"/>
              <w:bottom w:val="single" w:color="auto" w:sz="4" w:space="0"/>
              <w:right w:val="single" w:color="000000" w:sz="4" w:space="0"/>
            </w:tcBorders>
            <w:shd w:val="clear" w:color="auto" w:fill="auto"/>
            <w:vAlign w:val="center"/>
          </w:tcPr>
          <w:p w14:paraId="5D01D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63周岁及以下（1962年9月以后出生）</w:t>
            </w:r>
            <w:bookmarkStart w:id="3" w:name="_GoBack"/>
            <w:bookmarkEnd w:id="3"/>
          </w:p>
        </w:tc>
        <w:tc>
          <w:tcPr>
            <w:tcW w:w="484"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FB07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666" w:type="dxa"/>
            <w:tcBorders>
              <w:top w:val="single" w:color="auto" w:sz="4" w:space="0"/>
              <w:left w:val="single" w:color="000000" w:sz="4" w:space="0"/>
              <w:bottom w:val="single" w:color="auto" w:sz="4" w:space="0"/>
              <w:right w:val="single" w:color="000000" w:sz="4" w:space="0"/>
            </w:tcBorders>
            <w:shd w:val="clear" w:color="auto" w:fill="auto"/>
            <w:vAlign w:val="center"/>
          </w:tcPr>
          <w:p w14:paraId="5DF82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以上</w:t>
            </w:r>
          </w:p>
        </w:tc>
        <w:tc>
          <w:tcPr>
            <w:tcW w:w="699" w:type="dxa"/>
            <w:tcBorders>
              <w:top w:val="single" w:color="auto" w:sz="4" w:space="0"/>
              <w:left w:val="single" w:color="000000" w:sz="4" w:space="0"/>
              <w:bottom w:val="single" w:color="auto" w:sz="4" w:space="0"/>
              <w:right w:val="single" w:color="000000" w:sz="4" w:space="0"/>
            </w:tcBorders>
            <w:shd w:val="clear" w:color="auto" w:fill="auto"/>
            <w:vAlign w:val="center"/>
          </w:tcPr>
          <w:p w14:paraId="378E5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1162" w:type="dxa"/>
            <w:tcBorders>
              <w:top w:val="single" w:color="auto" w:sz="4" w:space="0"/>
              <w:left w:val="single" w:color="000000" w:sz="4" w:space="0"/>
              <w:bottom w:val="single" w:color="auto" w:sz="4" w:space="0"/>
              <w:right w:val="single" w:color="000000" w:sz="4" w:space="0"/>
            </w:tcBorders>
            <w:shd w:val="clear" w:color="auto" w:fill="auto"/>
            <w:vAlign w:val="center"/>
          </w:tcPr>
          <w:p w14:paraId="316C3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不限</w:t>
            </w:r>
          </w:p>
        </w:tc>
        <w:tc>
          <w:tcPr>
            <w:tcW w:w="4331" w:type="dxa"/>
            <w:tcBorders>
              <w:top w:val="single" w:color="auto" w:sz="4" w:space="0"/>
              <w:left w:val="single" w:color="000000" w:sz="4" w:space="0"/>
              <w:bottom w:val="single" w:color="auto" w:sz="4" w:space="0"/>
              <w:right w:val="single" w:color="auto" w:sz="4" w:space="0"/>
            </w:tcBorders>
            <w:shd w:val="clear" w:color="auto" w:fill="auto"/>
            <w:vAlign w:val="center"/>
          </w:tcPr>
          <w:p w14:paraId="5F2072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1.具有高校督导3年及以上工作经验，并具有副高级及以上职称；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2.能够胜任学校教学督导工作，熟悉教学管理，具有较强沟通协调能力和团队协作能力，有较强的责任心和执行力；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3.服从学校安排，完成学校交办的其他临时性工作；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4.熟悉使用办公软件，具有较强的文字写作能力；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5.同等条件下，具有以下条件之一的优先录取：①具有正高级职称的；②具有硕士研究生及以上学历。</w:t>
            </w:r>
          </w:p>
        </w:tc>
      </w:tr>
    </w:tbl>
    <w:p w14:paraId="7A8D36FF">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二、薪资待遇</w:t>
      </w:r>
    </w:p>
    <w:p w14:paraId="00F607AF">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rPr>
      </w:pPr>
      <w:r>
        <w:rPr>
          <w:rFonts w:hint="eastAsia" w:ascii="华文细黑" w:hAnsi="华文细黑" w:eastAsia="华文细黑" w:cs="华文细黑"/>
          <w:color w:val="000000"/>
          <w:sz w:val="30"/>
          <w:szCs w:val="30"/>
          <w:highlight w:val="none"/>
          <w:shd w:val="clear" w:color="auto" w:fill="FFFFFF"/>
        </w:rPr>
        <w:t>（一）人事关系：学校实行聘用制。</w:t>
      </w:r>
    </w:p>
    <w:p w14:paraId="78A1F037">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rPr>
      </w:pPr>
      <w:r>
        <w:rPr>
          <w:rFonts w:hint="eastAsia" w:ascii="华文细黑" w:hAnsi="华文细黑" w:eastAsia="华文细黑" w:cs="华文细黑"/>
          <w:color w:val="000000"/>
          <w:sz w:val="30"/>
          <w:szCs w:val="30"/>
          <w:highlight w:val="none"/>
          <w:shd w:val="clear" w:color="auto" w:fill="FFFFFF"/>
        </w:rPr>
        <w:t>（二）享受教工宿舍，配备有基本家具。</w:t>
      </w:r>
    </w:p>
    <w:p w14:paraId="762CC878">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rPr>
      </w:pPr>
      <w:r>
        <w:rPr>
          <w:rFonts w:hint="eastAsia" w:ascii="华文细黑" w:hAnsi="华文细黑" w:eastAsia="华文细黑" w:cs="华文细黑"/>
          <w:color w:val="000000"/>
          <w:sz w:val="30"/>
          <w:szCs w:val="30"/>
          <w:highlight w:val="none"/>
          <w:shd w:val="clear" w:color="auto" w:fill="FFFFFF"/>
        </w:rPr>
        <w:t>（三）薪酬按照学校工资文件标准执行。</w:t>
      </w:r>
    </w:p>
    <w:p w14:paraId="0ED0A495">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三、应聘方式</w:t>
      </w:r>
    </w:p>
    <w:p w14:paraId="4192A3A7">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（一）采用电子报名方式，应聘材料压缩打包发送至人事处邮箱1311681677@qq.com（标题为“姓名+应聘单位+岗位名称+专业方向”）。</w:t>
      </w:r>
    </w:p>
    <w:p w14:paraId="0C886D78">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bookmarkStart w:id="2" w:name="OLE_LINK4"/>
      <w:r>
        <w:rPr>
          <w:rFonts w:hint="eastAsia" w:ascii="华文细黑" w:hAnsi="华文细黑" w:eastAsia="华文细黑" w:cs="华文细黑"/>
          <w:color w:val="000000"/>
          <w:sz w:val="30"/>
          <w:szCs w:val="30"/>
          <w:highlight w:val="none"/>
          <w:shd w:val="clear" w:color="auto" w:fill="FFFFFF"/>
          <w:lang w:val="en-US" w:eastAsia="zh-CN"/>
        </w:rPr>
        <w:t>（二）</w:t>
      </w:r>
      <w:bookmarkEnd w:id="2"/>
      <w:r>
        <w:rPr>
          <w:rFonts w:hint="eastAsia" w:ascii="华文细黑" w:hAnsi="华文细黑" w:eastAsia="华文细黑" w:cs="华文细黑"/>
          <w:color w:val="000000"/>
          <w:sz w:val="30"/>
          <w:szCs w:val="30"/>
          <w:highlight w:val="none"/>
          <w:shd w:val="clear" w:color="auto" w:fill="FFFFFF"/>
          <w:lang w:val="en-US" w:eastAsia="zh-CN"/>
        </w:rPr>
        <w:t>应聘材料包括：</w:t>
      </w:r>
    </w:p>
    <w:p w14:paraId="1B0EF2AC">
      <w:pPr>
        <w:keepNext w:val="0"/>
        <w:keepLines w:val="0"/>
        <w:widowControl/>
        <w:suppressLineNumbers w:val="0"/>
        <w:ind w:firstLine="600" w:firstLineChars="200"/>
        <w:jc w:val="left"/>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1.个人详细简历、《泉州工程职业技术学院（人才引进）招聘报名表》（见附件）；</w:t>
      </w:r>
    </w:p>
    <w:p w14:paraId="75483C0C">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2.身份证正反面扫描件；</w:t>
      </w:r>
    </w:p>
    <w:p w14:paraId="563AB731">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3.已取得的学历学位证书扫描件（教育部学历证书电子注册备案表及学位认证信息)；取得境外学历学位者应提交教育部留学服务中心学历学位认证书；</w:t>
      </w:r>
    </w:p>
    <w:p w14:paraId="38F17528">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4.已获得的专业技术职务资格证书及聘书、高校教师资格证书、职（执）业资格证书；</w:t>
      </w:r>
    </w:p>
    <w:p w14:paraId="56E413D1">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5.具有代表性的科研成果、获奖证书及其他证明材料。</w:t>
      </w:r>
    </w:p>
    <w:p w14:paraId="3F7A690F">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（三）应聘者提交的信息和应聘材料必须真实有效，若发现不符合应聘条件、弄虚作假的，取消其录用资格。</w:t>
      </w:r>
    </w:p>
    <w:p w14:paraId="33C64BDB">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四、联系方式</w:t>
      </w:r>
    </w:p>
    <w:p w14:paraId="42B97531">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联系电话：0595-86001351 陈老师、郭老师 。</w:t>
      </w:r>
    </w:p>
    <w:p w14:paraId="51A2B61C">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学校地址：福建省南安市科技教育园区彬星988号。</w:t>
      </w:r>
    </w:p>
    <w:p w14:paraId="215EA5B4">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学校网址：http://www.qzgcu.com。</w:t>
      </w:r>
    </w:p>
    <w:p w14:paraId="62D371C9">
      <w:pPr>
        <w:keepNext w:val="0"/>
        <w:keepLines w:val="0"/>
        <w:pageBreakBefore w:val="0"/>
        <w:kinsoku/>
        <w:wordWrap/>
        <w:overflowPunct/>
        <w:topLinePunct w:val="0"/>
        <w:autoSpaceDE/>
        <w:autoSpaceDN/>
        <w:bidi w:val="0"/>
        <w:snapToGrid/>
        <w:spacing w:line="600" w:lineRule="exact"/>
        <w:ind w:firstLine="560"/>
        <w:rPr>
          <w:rFonts w:hint="default"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五、报名时间截止至2026年10月30日17:00。</w:t>
      </w:r>
    </w:p>
    <w:p w14:paraId="70D4258A">
      <w:pPr>
        <w:keepNext w:val="0"/>
        <w:keepLines w:val="0"/>
        <w:pageBreakBefore w:val="0"/>
        <w:kinsoku/>
        <w:wordWrap/>
        <w:overflowPunct/>
        <w:topLinePunct w:val="0"/>
        <w:autoSpaceDE/>
        <w:autoSpaceDN/>
        <w:bidi w:val="0"/>
        <w:snapToGrid/>
        <w:spacing w:line="600" w:lineRule="exact"/>
        <w:ind w:firstLine="560"/>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六、面试方式及时间：另行通知。</w:t>
      </w:r>
    </w:p>
    <w:p w14:paraId="2BFC8AD6">
      <w:pPr>
        <w:pStyle w:val="11"/>
        <w:ind w:left="0" w:leftChars="0" w:firstLine="0" w:firstLineChars="0"/>
        <w:rPr>
          <w:rFonts w:hint="default"/>
          <w:lang w:val="en-US" w:eastAsia="zh-CN"/>
        </w:rPr>
      </w:pPr>
    </w:p>
    <w:p w14:paraId="4EAA29D9">
      <w:pPr>
        <w:pStyle w:val="11"/>
        <w:ind w:left="0" w:leftChars="0" w:firstLine="0" w:firstLineChars="0"/>
        <w:rPr>
          <w:rFonts w:hint="default"/>
          <w:lang w:val="en-US" w:eastAsia="zh-CN"/>
        </w:rPr>
      </w:pPr>
    </w:p>
    <w:p w14:paraId="7D3FB83D">
      <w:pPr>
        <w:keepNext w:val="0"/>
        <w:keepLines w:val="0"/>
        <w:pageBreakBefore w:val="0"/>
        <w:kinsoku/>
        <w:wordWrap/>
        <w:overflowPunct/>
        <w:topLinePunct w:val="0"/>
        <w:autoSpaceDE/>
        <w:autoSpaceDN/>
        <w:bidi w:val="0"/>
        <w:snapToGrid/>
        <w:spacing w:line="600" w:lineRule="exact"/>
        <w:ind w:firstLine="560"/>
        <w:jc w:val="center"/>
        <w:rPr>
          <w:rFonts w:hint="eastAsia" w:ascii="华文细黑" w:hAnsi="华文细黑" w:eastAsia="华文细黑" w:cs="华文细黑"/>
          <w:color w:val="000000"/>
          <w:sz w:val="30"/>
          <w:szCs w:val="30"/>
          <w:highlight w:val="none"/>
          <w:shd w:val="clear" w:color="auto" w:fill="FFFFFF"/>
          <w:lang w:val="en-US" w:eastAsia="zh-CN"/>
        </w:rPr>
      </w:pPr>
      <w:r>
        <w:rPr>
          <w:rFonts w:hint="eastAsia" w:ascii="华文细黑" w:hAnsi="华文细黑" w:eastAsia="华文细黑" w:cs="华文细黑"/>
          <w:color w:val="000000"/>
          <w:sz w:val="30"/>
          <w:szCs w:val="30"/>
          <w:highlight w:val="none"/>
          <w:shd w:val="clear" w:color="auto" w:fill="FFFFFF"/>
          <w:lang w:val="en-US" w:eastAsia="zh-CN"/>
        </w:rPr>
        <w:t xml:space="preserve">                                   泉州工程职业技术学院</w:t>
      </w:r>
    </w:p>
    <w:p w14:paraId="0784284F">
      <w:pPr>
        <w:keepNext w:val="0"/>
        <w:keepLines w:val="0"/>
        <w:pageBreakBefore w:val="0"/>
        <w:kinsoku/>
        <w:wordWrap/>
        <w:overflowPunct/>
        <w:topLinePunct w:val="0"/>
        <w:autoSpaceDE/>
        <w:autoSpaceDN/>
        <w:bidi w:val="0"/>
        <w:snapToGrid/>
        <w:spacing w:line="600" w:lineRule="exact"/>
        <w:ind w:firstLine="560"/>
        <w:jc w:val="center"/>
        <w:rPr>
          <w:rStyle w:val="10"/>
          <w:rFonts w:ascii="微软雅黑" w:hAnsi="微软雅黑" w:eastAsia="微软雅黑" w:cs="微软雅黑"/>
          <w:i w:val="0"/>
          <w:iCs w:val="0"/>
          <w:caps w:val="0"/>
          <w:color w:val="FFFFFF"/>
          <w:spacing w:val="8"/>
          <w:sz w:val="24"/>
          <w:szCs w:val="24"/>
          <w:shd w:val="clear" w:fill="CB3900"/>
        </w:rPr>
      </w:pPr>
      <w:r>
        <w:rPr>
          <w:rFonts w:hint="eastAsia" w:ascii="华文细黑" w:hAnsi="华文细黑" w:eastAsia="华文细黑" w:cs="华文细黑"/>
          <w:color w:val="000000"/>
          <w:sz w:val="30"/>
          <w:szCs w:val="30"/>
          <w:highlight w:val="none"/>
          <w:shd w:val="clear" w:color="auto" w:fill="FFFFFF"/>
          <w:lang w:val="en-US" w:eastAsia="zh-CN"/>
        </w:rPr>
        <w:t xml:space="preserve">                                     2026年9月1日</w:t>
      </w: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auto"/>
    <w:pitch w:val="default"/>
    <w:sig w:usb0="80000287" w:usb1="280F3C52" w:usb2="00000016" w:usb3="00000000" w:csb0="0004001F"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2MjM1OGUzM2EzM2QzM2YxNzE0Zjc2MmFkNWJhYjQifQ=="/>
  </w:docVars>
  <w:rsids>
    <w:rsidRoot w:val="1B8E120C"/>
    <w:rsid w:val="000374EA"/>
    <w:rsid w:val="02614383"/>
    <w:rsid w:val="02F456F2"/>
    <w:rsid w:val="02F72078"/>
    <w:rsid w:val="037759DB"/>
    <w:rsid w:val="03AF786B"/>
    <w:rsid w:val="0449381C"/>
    <w:rsid w:val="045D481F"/>
    <w:rsid w:val="061A5470"/>
    <w:rsid w:val="06F064CE"/>
    <w:rsid w:val="077C1812"/>
    <w:rsid w:val="088F2A67"/>
    <w:rsid w:val="09C04386"/>
    <w:rsid w:val="0A0D52EB"/>
    <w:rsid w:val="0AD11E75"/>
    <w:rsid w:val="0B427906"/>
    <w:rsid w:val="0B450551"/>
    <w:rsid w:val="0C104C1F"/>
    <w:rsid w:val="0DD60EE0"/>
    <w:rsid w:val="0E84422E"/>
    <w:rsid w:val="0EA059ED"/>
    <w:rsid w:val="0EFD592E"/>
    <w:rsid w:val="0F967BF4"/>
    <w:rsid w:val="119B05A9"/>
    <w:rsid w:val="123258EF"/>
    <w:rsid w:val="12AA7B7B"/>
    <w:rsid w:val="130F0CEA"/>
    <w:rsid w:val="155E2384"/>
    <w:rsid w:val="1651127D"/>
    <w:rsid w:val="169A1CB5"/>
    <w:rsid w:val="172A3039"/>
    <w:rsid w:val="175C51BC"/>
    <w:rsid w:val="181D0DEF"/>
    <w:rsid w:val="197113F3"/>
    <w:rsid w:val="1A2024D1"/>
    <w:rsid w:val="1A473F02"/>
    <w:rsid w:val="1B8E120C"/>
    <w:rsid w:val="1CB735C0"/>
    <w:rsid w:val="1D752B34"/>
    <w:rsid w:val="1D772D50"/>
    <w:rsid w:val="1E40516F"/>
    <w:rsid w:val="1FB042F7"/>
    <w:rsid w:val="200B755F"/>
    <w:rsid w:val="20825C93"/>
    <w:rsid w:val="2129610F"/>
    <w:rsid w:val="220A4192"/>
    <w:rsid w:val="224F6249"/>
    <w:rsid w:val="253F05F7"/>
    <w:rsid w:val="25EB42DB"/>
    <w:rsid w:val="26795443"/>
    <w:rsid w:val="27075578"/>
    <w:rsid w:val="2D22582C"/>
    <w:rsid w:val="2E094FE2"/>
    <w:rsid w:val="2EC4391B"/>
    <w:rsid w:val="2ED3590C"/>
    <w:rsid w:val="2F414F6C"/>
    <w:rsid w:val="2FBC2844"/>
    <w:rsid w:val="2FD8767E"/>
    <w:rsid w:val="30515682"/>
    <w:rsid w:val="30601421"/>
    <w:rsid w:val="30782C0F"/>
    <w:rsid w:val="325F3BB1"/>
    <w:rsid w:val="333D3C9C"/>
    <w:rsid w:val="342F1837"/>
    <w:rsid w:val="34FE2DA8"/>
    <w:rsid w:val="36F6663C"/>
    <w:rsid w:val="37630725"/>
    <w:rsid w:val="37D270A9"/>
    <w:rsid w:val="38804D57"/>
    <w:rsid w:val="3AB85DCE"/>
    <w:rsid w:val="3ABE1B66"/>
    <w:rsid w:val="3B5E2A01"/>
    <w:rsid w:val="3C045EF4"/>
    <w:rsid w:val="3C6B7ACC"/>
    <w:rsid w:val="3D5B544A"/>
    <w:rsid w:val="40263C01"/>
    <w:rsid w:val="402D7572"/>
    <w:rsid w:val="40D7128C"/>
    <w:rsid w:val="40ED4F53"/>
    <w:rsid w:val="40F7192E"/>
    <w:rsid w:val="41525ADA"/>
    <w:rsid w:val="44EC107E"/>
    <w:rsid w:val="45ED3300"/>
    <w:rsid w:val="45F36B68"/>
    <w:rsid w:val="467A1037"/>
    <w:rsid w:val="4785113F"/>
    <w:rsid w:val="47F15329"/>
    <w:rsid w:val="4B1C70CD"/>
    <w:rsid w:val="4B337A07"/>
    <w:rsid w:val="4D21045F"/>
    <w:rsid w:val="4FCB2904"/>
    <w:rsid w:val="50681F00"/>
    <w:rsid w:val="51DB39F7"/>
    <w:rsid w:val="525F7333"/>
    <w:rsid w:val="53AC0356"/>
    <w:rsid w:val="53BF17BC"/>
    <w:rsid w:val="5413655E"/>
    <w:rsid w:val="54574766"/>
    <w:rsid w:val="550D12C8"/>
    <w:rsid w:val="554738F5"/>
    <w:rsid w:val="56835CE6"/>
    <w:rsid w:val="56A17F1A"/>
    <w:rsid w:val="579E26AC"/>
    <w:rsid w:val="58403763"/>
    <w:rsid w:val="58C425E6"/>
    <w:rsid w:val="5CC22998"/>
    <w:rsid w:val="5F263278"/>
    <w:rsid w:val="601479AF"/>
    <w:rsid w:val="61761FA3"/>
    <w:rsid w:val="62B1548C"/>
    <w:rsid w:val="6397692D"/>
    <w:rsid w:val="63BC55AE"/>
    <w:rsid w:val="64AF414A"/>
    <w:rsid w:val="655D5954"/>
    <w:rsid w:val="65CB4FB4"/>
    <w:rsid w:val="66C46026"/>
    <w:rsid w:val="675E6A9F"/>
    <w:rsid w:val="688611FA"/>
    <w:rsid w:val="6C853499"/>
    <w:rsid w:val="6CC9046D"/>
    <w:rsid w:val="6EF530A1"/>
    <w:rsid w:val="6F6049BF"/>
    <w:rsid w:val="727A7B45"/>
    <w:rsid w:val="728269FA"/>
    <w:rsid w:val="72E15E16"/>
    <w:rsid w:val="737B0183"/>
    <w:rsid w:val="748527D2"/>
    <w:rsid w:val="755C3532"/>
    <w:rsid w:val="75FD574F"/>
    <w:rsid w:val="76880357"/>
    <w:rsid w:val="768A6974"/>
    <w:rsid w:val="77AA091F"/>
    <w:rsid w:val="77B05DB7"/>
    <w:rsid w:val="7867461A"/>
    <w:rsid w:val="79294073"/>
    <w:rsid w:val="7A765096"/>
    <w:rsid w:val="7B5B603A"/>
    <w:rsid w:val="7B6E2211"/>
    <w:rsid w:val="7B783090"/>
    <w:rsid w:val="7CAD09BA"/>
    <w:rsid w:val="7D112167"/>
    <w:rsid w:val="7D9615AC"/>
    <w:rsid w:val="7ED700CE"/>
    <w:rsid w:val="7F725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3">
    <w:name w:val="Body Text Indent 2"/>
    <w:basedOn w:val="1"/>
    <w:autoRedefine/>
    <w:qFormat/>
    <w:uiPriority w:val="0"/>
    <w:pPr>
      <w:spacing w:after="120" w:line="480" w:lineRule="auto"/>
      <w:ind w:left="420" w:leftChars="200"/>
    </w:pPr>
    <w:rPr>
      <w:rFonts w:ascii="Times New Roman" w:hAnsi="Times New Roman" w:eastAsia="宋体" w:cs="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2"/>
    <w:autoRedefine/>
    <w:qFormat/>
    <w:uiPriority w:val="0"/>
    <w:pPr>
      <w:ind w:firstLine="420" w:firstLineChars="100"/>
    </w:pPr>
    <w:rPr>
      <w:rFonts w:ascii="Calibri" w:hAnsi="Calibri" w:eastAsia="宋体"/>
      <w:kern w:val="0"/>
      <w:sz w:val="20"/>
      <w:szCs w:val="20"/>
    </w:rPr>
  </w:style>
  <w:style w:type="character" w:styleId="10">
    <w:name w:val="Strong"/>
    <w:basedOn w:val="9"/>
    <w:autoRedefine/>
    <w:qFormat/>
    <w:uiPriority w:val="0"/>
    <w:rPr>
      <w:b/>
    </w:rPr>
  </w:style>
  <w:style w:type="paragraph" w:customStyle="1" w:styleId="11">
    <w:name w:val="UserStyle_0"/>
    <w:basedOn w:val="1"/>
    <w:autoRedefine/>
    <w:qFormat/>
    <w:uiPriority w:val="0"/>
    <w:pPr>
      <w:ind w:firstLine="480" w:firstLineChars="200"/>
    </w:pPr>
  </w:style>
  <w:style w:type="character" w:customStyle="1" w:styleId="12">
    <w:name w:val="font41"/>
    <w:basedOn w:val="9"/>
    <w:qFormat/>
    <w:uiPriority w:val="0"/>
    <w:rPr>
      <w:rFonts w:hint="eastAsia" w:ascii="宋体" w:hAnsi="宋体" w:eastAsia="宋体" w:cs="宋体"/>
      <w:color w:val="FF0000"/>
      <w:sz w:val="22"/>
      <w:szCs w:val="22"/>
      <w:u w:val="none"/>
    </w:rPr>
  </w:style>
  <w:style w:type="character" w:customStyle="1" w:styleId="13">
    <w:name w:val="font3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Manager>csh</Manager>
  <Company>csh</Company>
  <Pages>5</Pages>
  <Words>907</Words>
  <Characters>926</Characters>
  <Lines>0</Lines>
  <Paragraphs>0</Paragraphs>
  <TotalTime>5</TotalTime>
  <ScaleCrop>false</ScaleCrop>
  <LinksUpToDate>false</LinksUpToDate>
  <CharactersWithSpaces>973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2024-03-20T02:48:00Z</dcterms:created>
  <dc:creator>csh</dc:creator>
  <cp:lastModifiedBy>Administrator</cp:lastModifiedBy>
  <cp:lastPrinted>2026-04-02T08:50:00Z</cp:lastPrinted>
  <dcterms:modified xsi:type="dcterms:W3CDTF">2026-09-04T08:09:50Z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F192E8041355438FA9083832E73E9692_13</vt:lpwstr>
  </property>
  <property fmtid="{D5CDD505-2E9C-101B-9397-08002B2CF9AE}" pid="4" name="KSOTemplateDocerSaveRecord">
    <vt:lpwstr>eyJoZGlkIjoiZmM2MjM1OGUzM2EzM2QzM2YxNzE0Zjc2MmFkNWJhYjQiLCJ1c2VySWQiOiIyNTc0MTgwMzQifQ==</vt:lpwstr>
  </property>
</Properties>
</file>