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32" w:tblpY="-11944"/>
        <w:tblOverlap w:val="never"/>
        <w:tblW w:w="141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75"/>
        <w:gridCol w:w="925"/>
        <w:gridCol w:w="725"/>
        <w:gridCol w:w="975"/>
        <w:gridCol w:w="1725"/>
        <w:gridCol w:w="1313"/>
        <w:gridCol w:w="3450"/>
        <w:gridCol w:w="1912"/>
        <w:gridCol w:w="1125"/>
      </w:tblGrid>
      <w:tr w14:paraId="0D051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CDBCD">
            <w:pPr>
              <w:widowControl/>
              <w:jc w:val="center"/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3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 w:themeColor="text1"/>
                <w:spacing w:val="0"/>
                <w:sz w:val="31"/>
                <w:szCs w:val="31"/>
                <w14:textFill>
                  <w14:solidFill>
                    <w14:schemeClr w14:val="tx1"/>
                  </w14:solidFill>
                </w14:textFill>
              </w:rPr>
            </w:pPr>
          </w:p>
          <w:p w14:paraId="189A41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 w:themeColor="text1"/>
                <w:spacing w:val="0"/>
                <w:sz w:val="31"/>
                <w:szCs w:val="31"/>
                <w14:textFill>
                  <w14:solidFill>
                    <w14:schemeClr w14:val="tx1"/>
                  </w14:solidFill>
                </w14:textFill>
              </w:rPr>
            </w:pPr>
          </w:p>
          <w:p w14:paraId="057F8E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 w:themeColor="text1"/>
                <w:spacing w:val="0"/>
                <w:sz w:val="31"/>
                <w:szCs w:val="31"/>
                <w14:textFill>
                  <w14:solidFill>
                    <w14:schemeClr w14:val="tx1"/>
                  </w14:solidFill>
                </w14:textFill>
              </w:rPr>
            </w:pPr>
          </w:p>
          <w:p w14:paraId="38ACB8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 w:themeColor="text1"/>
                <w:spacing w:val="0"/>
                <w:sz w:val="31"/>
                <w:szCs w:val="3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 w:themeColor="text1"/>
                <w:spacing w:val="0"/>
                <w:sz w:val="31"/>
                <w:szCs w:val="31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  <w:p w14:paraId="2D79655D">
            <w:pPr>
              <w:widowControl/>
              <w:jc w:val="center"/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年黄石港区招聘政府雇员岗位与待遇一览表</w:t>
            </w:r>
          </w:p>
          <w:p w14:paraId="5DA50B83">
            <w:pPr>
              <w:widowControl/>
              <w:jc w:val="center"/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1F0A0">
            <w:pPr>
              <w:widowControl/>
              <w:jc w:val="center"/>
              <w:rPr>
                <w:rFonts w:hint="eastAsia" w:ascii="方正大标宋简体" w:hAnsi="黑体" w:eastAsia="方正大标宋简体" w:cs="宋体"/>
                <w:b w:val="0"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C17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5425A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岗位代码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BE6EB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C89F7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8797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42BFA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E6D8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6B9B6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34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78480E3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招聘条件</w:t>
            </w: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4D4E7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工资及福利待遇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6561E">
            <w:pPr>
              <w:widowControl/>
              <w:jc w:val="center"/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3636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D0B5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1001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41454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黄石港区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审计局</w:t>
            </w:r>
          </w:p>
        </w:tc>
        <w:tc>
          <w:tcPr>
            <w:tcW w:w="9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AF1C3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工程审计人员</w:t>
            </w:r>
          </w:p>
        </w:tc>
        <w:tc>
          <w:tcPr>
            <w:tcW w:w="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1918D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E607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E21B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土木类、工程管理、工程造价</w:t>
            </w:r>
          </w:p>
        </w:tc>
        <w:tc>
          <w:tcPr>
            <w:tcW w:w="131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AE06A8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34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A6AE0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2年以上工程审计相关管理经验，持有建筑专业助理工程师或二级造价师及以上职称（职业资格）。能适应驻外出差。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DB457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万元/年包干（含“五险一金”）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F4753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D27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5278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1002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4458D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黄石港区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审计局</w:t>
            </w:r>
          </w:p>
        </w:tc>
        <w:tc>
          <w:tcPr>
            <w:tcW w:w="9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926D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财务审计人员</w:t>
            </w:r>
          </w:p>
        </w:tc>
        <w:tc>
          <w:tcPr>
            <w:tcW w:w="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2CCEE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76DA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36214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财务管理、会计学、审计学</w:t>
            </w:r>
          </w:p>
        </w:tc>
        <w:tc>
          <w:tcPr>
            <w:tcW w:w="13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B3101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3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9C40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2年以上财务审计工作经验，持有财务审计类中级以上职称或者注册会计师资格。能适应驻外出差。</w:t>
            </w:r>
          </w:p>
        </w:tc>
        <w:tc>
          <w:tcPr>
            <w:tcW w:w="19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35C2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万元/年包干（含“五险一金”）</w:t>
            </w:r>
          </w:p>
        </w:tc>
        <w:tc>
          <w:tcPr>
            <w:tcW w:w="1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45772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63D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72BD4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1003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2D710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黄石港区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住房保障局</w:t>
            </w:r>
          </w:p>
        </w:tc>
        <w:tc>
          <w:tcPr>
            <w:tcW w:w="9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1C06E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</w:tc>
        <w:tc>
          <w:tcPr>
            <w:tcW w:w="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229F1"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8B2A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及以上学历</w:t>
            </w:r>
          </w:p>
        </w:tc>
        <w:tc>
          <w:tcPr>
            <w:tcW w:w="17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891C7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土木类、建筑类</w:t>
            </w:r>
          </w:p>
        </w:tc>
        <w:tc>
          <w:tcPr>
            <w:tcW w:w="13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C7414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3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844F2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能熟练掌握房建工程施工规范，具有</w:t>
            </w: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年以上项目管理经验，持有二级造价师及以上职业资格。</w:t>
            </w:r>
          </w:p>
        </w:tc>
        <w:tc>
          <w:tcPr>
            <w:tcW w:w="19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986FC"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万元/年包干（含“五险一金”）</w:t>
            </w:r>
          </w:p>
        </w:tc>
        <w:tc>
          <w:tcPr>
            <w:tcW w:w="1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6693A"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大专学历应为普通高等学校毕业</w:t>
            </w:r>
          </w:p>
        </w:tc>
      </w:tr>
    </w:tbl>
    <w:p w14:paraId="46452273"/>
    <w:p w14:paraId="75E5ECC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327BC"/>
    <w:rsid w:val="244327BC"/>
    <w:rsid w:val="74C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2026-10-15T08:51:00Z</dcterms:created>
  <dc:creator>.</dc:creator>
  <cp:lastModifiedBy>.</cp:lastModifiedBy>
  <dcterms:modified xsi:type="dcterms:W3CDTF">2026-10-15T08:52:17Z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BB927BFBFA884AE2A23B24FD6BC4E5CE_13</vt:lpwstr>
  </property>
  <property fmtid="{D5CDD505-2E9C-101B-9397-08002B2CF9AE}" pid="4" name="KSOTemplateDocerSaveRecord">
    <vt:lpwstr>eyJoZGlkIjoiZjIyMGRlNjkwMTc4Y2VkZjQxNGJmY2E1MjgyZDNhYTIiLCJ1c2VySWQiOiIxODk5MDg5MjMifQ==</vt:lpwstr>
  </property>
</Properties>
</file>