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7794E">
      <w:pPr>
        <w:pStyle w:val="15"/>
        <w:spacing w:before="156" w:after="156"/>
      </w:pPr>
      <w:r>
        <w:rPr>
          <w:rFonts w:hint="eastAsia"/>
        </w:rPr>
        <w:t>招聘简章</w:t>
      </w:r>
    </w:p>
    <w:p w14:paraId="402D6FCF">
      <w:pPr>
        <w:pStyle w:val="2"/>
      </w:pPr>
      <w:r>
        <w:rPr>
          <w:rFonts w:hint="eastAsia"/>
        </w:rPr>
        <w:t>一、公司概况</w:t>
      </w:r>
    </w:p>
    <w:p w14:paraId="11FF7247">
      <w:pPr>
        <w:widowControl w:val="0"/>
        <w:ind w:firstLine="640" w:firstLineChars="20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滨海投资有限公司（简称</w:t>
      </w:r>
      <w:r>
        <w:rPr>
          <w:rFonts w:hint="eastAsia" w:ascii="仿宋_GB2312" w:eastAsia="仿宋_GB2312" w:hAnsiTheme="minorHAnsi"/>
          <w:kern w:val="2"/>
          <w:szCs w:val="32"/>
          <w:lang w:eastAsia="zh-CN"/>
        </w:rPr>
        <w:t>“</w:t>
      </w:r>
      <w:r>
        <w:rPr>
          <w:rFonts w:hint="eastAsia" w:ascii="仿宋_GB2312" w:eastAsia="仿宋_GB2312" w:hAnsiTheme="minorHAnsi"/>
          <w:kern w:val="2"/>
          <w:szCs w:val="32"/>
        </w:rPr>
        <w:t>滨海投资</w:t>
      </w:r>
      <w:r>
        <w:rPr>
          <w:rFonts w:hint="eastAsia" w:ascii="仿宋_GB2312" w:eastAsia="仿宋_GB2312" w:hAnsiTheme="minorHAnsi"/>
          <w:kern w:val="2"/>
          <w:szCs w:val="32"/>
          <w:lang w:eastAsia="zh-CN"/>
        </w:rPr>
        <w:t>”</w:t>
      </w:r>
      <w:r>
        <w:rPr>
          <w:rFonts w:hint="eastAsia" w:ascii="仿宋_GB2312" w:eastAsia="仿宋_GB2312" w:hAnsiTheme="minorHAnsi"/>
          <w:kern w:val="2"/>
          <w:szCs w:val="32"/>
        </w:rPr>
        <w:t>，股份代号</w:t>
      </w:r>
      <w:r>
        <w:rPr>
          <w:rFonts w:ascii="仿宋_GB2312" w:eastAsia="仿宋_GB2312" w:hAnsiTheme="minorHAnsi"/>
          <w:kern w:val="2"/>
          <w:szCs w:val="32"/>
        </w:rPr>
        <w:t>HK.</w:t>
      </w:r>
      <w:r>
        <w:rPr>
          <w:rFonts w:hint="eastAsia" w:ascii="仿宋_GB2312" w:eastAsia="仿宋_GB2312" w:hAnsiTheme="minorHAnsi"/>
          <w:kern w:val="2"/>
          <w:szCs w:val="32"/>
        </w:rPr>
        <w:t>0</w:t>
      </w:r>
      <w:r>
        <w:rPr>
          <w:rFonts w:ascii="仿宋_GB2312" w:eastAsia="仿宋_GB2312" w:hAnsiTheme="minorHAnsi"/>
          <w:kern w:val="2"/>
          <w:szCs w:val="32"/>
        </w:rPr>
        <w:t>2886）是一家在香港联合交易所主板上市的投资公司。我们致力</w:t>
      </w:r>
      <w:r>
        <w:rPr>
          <w:rFonts w:hint="eastAsia" w:ascii="仿宋_GB2312" w:eastAsia="仿宋_GB2312" w:hAnsiTheme="minorHAnsi"/>
          <w:kern w:val="2"/>
          <w:szCs w:val="32"/>
        </w:rPr>
        <w:t>成为中国综合能源的倡导者和运营商，长期深耕城市燃气领域，专注清洁能源投资运营</w:t>
      </w:r>
      <w:r>
        <w:rPr>
          <w:rFonts w:ascii="仿宋_GB2312" w:eastAsia="仿宋_GB2312" w:hAnsiTheme="minorHAnsi"/>
          <w:kern w:val="2"/>
          <w:szCs w:val="32"/>
        </w:rPr>
        <w:t>。</w:t>
      </w:r>
    </w:p>
    <w:p w14:paraId="76F21814">
      <w:pPr>
        <w:widowControl w:val="0"/>
        <w:ind w:firstLine="640" w:firstLineChars="20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ascii="仿宋_GB2312" w:eastAsia="仿宋_GB2312" w:hAnsiTheme="minorHAnsi"/>
          <w:kern w:val="2"/>
          <w:szCs w:val="32"/>
        </w:rPr>
        <w:t>公司主营业务为投资建设和经营城市燃气管道网络，提供管道安装及施工服务，供应及提供天然气、液化石油气，为工、商业用户和城市居民提供清洁能源。</w:t>
      </w:r>
    </w:p>
    <w:p w14:paraId="06F0CF4E">
      <w:pPr>
        <w:widowControl w:val="0"/>
        <w:ind w:firstLine="640" w:firstLineChars="20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滨海投资由天津泰达投资控股（集团）有限公司、中石化长城燃气投资有限公司两大实力股东加持，连续五年入选国务院国资委“双百企业”</w:t>
      </w:r>
      <w:r>
        <w:rPr>
          <w:rFonts w:ascii="仿宋_GB2312" w:eastAsia="仿宋_GB2312" w:hAnsiTheme="minorHAnsi"/>
          <w:kern w:val="2"/>
          <w:szCs w:val="32"/>
        </w:rPr>
        <w:t>。</w:t>
      </w:r>
      <w:r>
        <w:rPr>
          <w:rFonts w:hint="eastAsia" w:ascii="仿宋_GB2312" w:eastAsia="仿宋_GB2312" w:hAnsiTheme="minorHAnsi"/>
          <w:kern w:val="2"/>
          <w:szCs w:val="32"/>
        </w:rPr>
        <w:t>未来公司将聚焦“巩固城燃业务基本盘、大力发展增值服务、加快向综合能源供应商转型”三大方向，全力推动公司高质量发展。</w:t>
      </w:r>
    </w:p>
    <w:p w14:paraId="01B3BAC9">
      <w:pPr>
        <w:widowControl w:val="0"/>
        <w:ind w:firstLine="640" w:firstLineChars="20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滨海投资</w:t>
      </w:r>
      <w:r>
        <w:rPr>
          <w:rFonts w:ascii="仿宋_GB2312" w:eastAsia="仿宋_GB2312" w:hAnsiTheme="minorHAnsi"/>
          <w:kern w:val="2"/>
          <w:szCs w:val="32"/>
        </w:rPr>
        <w:t>业务</w:t>
      </w:r>
      <w:r>
        <w:rPr>
          <w:rFonts w:hint="eastAsia" w:ascii="仿宋_GB2312" w:eastAsia="仿宋_GB2312" w:hAnsiTheme="minorHAnsi"/>
          <w:kern w:val="2"/>
          <w:szCs w:val="32"/>
        </w:rPr>
        <w:t>覆盖</w:t>
      </w:r>
      <w:r>
        <w:rPr>
          <w:rFonts w:ascii="仿宋_GB2312" w:eastAsia="仿宋_GB2312" w:hAnsiTheme="minorHAnsi"/>
          <w:kern w:val="2"/>
          <w:szCs w:val="32"/>
        </w:rPr>
        <w:t>全国八省二市，</w:t>
      </w:r>
      <w:r>
        <w:rPr>
          <w:rFonts w:hint="eastAsia" w:ascii="仿宋_GB2312" w:eastAsia="仿宋_GB2312" w:hAnsiTheme="minorHAnsi"/>
          <w:kern w:val="2"/>
          <w:szCs w:val="32"/>
        </w:rPr>
        <w:t>连续</w:t>
      </w:r>
      <w:r>
        <w:rPr>
          <w:rFonts w:ascii="仿宋_GB2312" w:eastAsia="仿宋_GB2312" w:hAnsiTheme="minorHAnsi"/>
          <w:kern w:val="2"/>
          <w:szCs w:val="32"/>
        </w:rPr>
        <w:t>15年保持业绩高速增长</w:t>
      </w:r>
      <w:r>
        <w:rPr>
          <w:rFonts w:hint="eastAsia" w:ascii="仿宋_GB2312" w:eastAsia="仿宋_GB2312" w:hAnsiTheme="minorHAnsi"/>
          <w:kern w:val="2"/>
          <w:szCs w:val="32"/>
        </w:rPr>
        <w:t>。集团下设2</w:t>
      </w:r>
      <w:r>
        <w:rPr>
          <w:rFonts w:ascii="仿宋_GB2312" w:eastAsia="仿宋_GB2312" w:hAnsiTheme="minorHAnsi"/>
          <w:kern w:val="2"/>
          <w:szCs w:val="32"/>
        </w:rPr>
        <w:t>家子集团、</w:t>
      </w:r>
      <w:r>
        <w:rPr>
          <w:rFonts w:hint="eastAsia" w:ascii="仿宋_GB2312" w:eastAsia="仿宋_GB2312" w:hAnsiTheme="minorHAnsi"/>
          <w:kern w:val="2"/>
          <w:szCs w:val="32"/>
        </w:rPr>
        <w:t>逾</w:t>
      </w:r>
      <w:r>
        <w:rPr>
          <w:rFonts w:ascii="仿宋_GB2312" w:eastAsia="仿宋_GB2312" w:hAnsiTheme="minorHAnsi"/>
          <w:kern w:val="2"/>
          <w:szCs w:val="32"/>
        </w:rPr>
        <w:t>40家燃气公司、4家专业公司，全员约2000名</w:t>
      </w:r>
      <w:r>
        <w:rPr>
          <w:rFonts w:hint="eastAsia" w:ascii="仿宋_GB2312" w:eastAsia="仿宋_GB2312" w:hAnsiTheme="minorHAnsi"/>
          <w:kern w:val="2"/>
          <w:szCs w:val="32"/>
          <w:lang w:val="en-US" w:eastAsia="zh-CN"/>
        </w:rPr>
        <w:t>员</w:t>
      </w:r>
      <w:r>
        <w:rPr>
          <w:rFonts w:ascii="仿宋_GB2312" w:eastAsia="仿宋_GB2312" w:hAnsiTheme="minorHAnsi"/>
          <w:kern w:val="2"/>
          <w:szCs w:val="32"/>
        </w:rPr>
        <w:t>工。2025年</w:t>
      </w:r>
      <w:r>
        <w:rPr>
          <w:rFonts w:hint="eastAsia" w:ascii="仿宋_GB2312" w:eastAsia="仿宋_GB2312" w:hAnsiTheme="minorHAnsi"/>
          <w:kern w:val="2"/>
          <w:szCs w:val="32"/>
        </w:rPr>
        <w:t>滨海投资主营收入</w:t>
      </w:r>
      <w:r>
        <w:rPr>
          <w:rFonts w:ascii="仿宋_GB2312" w:eastAsia="仿宋_GB2312" w:hAnsiTheme="minorHAnsi"/>
          <w:kern w:val="2"/>
          <w:szCs w:val="32"/>
        </w:rPr>
        <w:t>56.06亿元。</w:t>
      </w:r>
    </w:p>
    <w:p w14:paraId="6BFB4269">
      <w:pPr>
        <w:pStyle w:val="2"/>
      </w:pPr>
      <w:r>
        <w:rPr>
          <w:rFonts w:hint="eastAsia"/>
        </w:rPr>
        <w:t>二、子公司简介</w:t>
      </w:r>
    </w:p>
    <w:p w14:paraId="5A7BD261">
      <w:pPr>
        <w:pStyle w:val="45"/>
        <w:widowControl w:val="0"/>
        <w:numPr>
          <w:ilvl w:val="0"/>
          <w:numId w:val="1"/>
        </w:numPr>
        <w:ind w:firstLineChars="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下属核心子集团：天津泰达滨海清洁能源集团有限公司（简称：泰达清洁能源集团）</w:t>
      </w:r>
    </w:p>
    <w:p w14:paraId="434A0E74">
      <w:pPr>
        <w:pStyle w:val="45"/>
        <w:widowControl w:val="0"/>
        <w:numPr>
          <w:ilvl w:val="0"/>
          <w:numId w:val="1"/>
        </w:numPr>
        <w:ind w:firstLineChars="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下属核心子集团：泰城清洁能源集团有限公司（简称“泰城清洁能源集团”）</w:t>
      </w:r>
    </w:p>
    <w:p w14:paraId="07C51509">
      <w:pPr>
        <w:pStyle w:val="45"/>
        <w:widowControl w:val="0"/>
        <w:numPr>
          <w:ilvl w:val="0"/>
          <w:numId w:val="1"/>
        </w:numPr>
        <w:ind w:firstLineChars="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增值服务核心中枢：海南滨海泰悦家科技有限公司（简称“泰悦家公司”）</w:t>
      </w:r>
    </w:p>
    <w:p w14:paraId="09CD6C01">
      <w:pPr>
        <w:pStyle w:val="45"/>
        <w:widowControl w:val="0"/>
        <w:numPr>
          <w:ilvl w:val="0"/>
          <w:numId w:val="1"/>
        </w:numPr>
        <w:ind w:firstLineChars="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创新成果产出平台：天津滨投新智科技有限公司（简称“滨投新智科技公司”）</w:t>
      </w:r>
    </w:p>
    <w:p w14:paraId="62EBAE4E">
      <w:pPr>
        <w:pStyle w:val="45"/>
        <w:widowControl w:val="0"/>
        <w:numPr>
          <w:ilvl w:val="0"/>
          <w:numId w:val="1"/>
        </w:numPr>
        <w:ind w:firstLineChars="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气源贸易运营中心：深圳市滨海能源有限公司（简称“深圳滨海能源”）</w:t>
      </w:r>
    </w:p>
    <w:p w14:paraId="0A9BA5A2">
      <w:pPr>
        <w:pStyle w:val="45"/>
        <w:widowControl w:val="0"/>
        <w:numPr>
          <w:ilvl w:val="0"/>
          <w:numId w:val="1"/>
        </w:numPr>
        <w:ind w:firstLineChars="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综合能源服务平台：德清启源智控能源服务有限公司（简称“德清启源智控”）</w:t>
      </w:r>
    </w:p>
    <w:p w14:paraId="48424021">
      <w:pPr>
        <w:pStyle w:val="2"/>
      </w:pPr>
      <w:r>
        <w:rPr>
          <w:rFonts w:hint="eastAsia"/>
        </w:rPr>
        <w:t>三、人才战略</w:t>
      </w:r>
    </w:p>
    <w:p w14:paraId="010E53D3">
      <w:pPr>
        <w:widowControl w:val="0"/>
        <w:ind w:firstLine="640" w:firstLineChars="20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滨海投资坚持党管人才原则，以“专业建企、人才兴企”为核心战略，紧扣“十五五”发展规划，深入实施“青苗”计划，面向未来培育中高层管理人才与专业骨干，打造高素质、专业化、勇担当、善作为的优秀年轻干部队伍。通过全周期培养体系，为年轻人才搭建成长快车道，助力员工与企业共同成长，为公司高质量发展储备核心力量。</w:t>
      </w:r>
    </w:p>
    <w:p w14:paraId="7D75FBE0">
      <w:pPr>
        <w:pStyle w:val="2"/>
      </w:pPr>
      <w:r>
        <w:rPr>
          <w:rFonts w:hint="eastAsia"/>
        </w:rPr>
        <w:t>四、企业荣誉与品牌实力</w:t>
      </w:r>
    </w:p>
    <w:p w14:paraId="54F9B356">
      <w:pPr>
        <w:pStyle w:val="45"/>
        <w:widowControl w:val="0"/>
        <w:numPr>
          <w:ilvl w:val="0"/>
          <w:numId w:val="2"/>
        </w:numPr>
        <w:ind w:firstLineChars="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ascii="仿宋_GB2312" w:eastAsia="仿宋_GB2312" w:hAnsiTheme="minorHAnsi"/>
          <w:kern w:val="2"/>
          <w:szCs w:val="32"/>
        </w:rPr>
        <w:t>国务院</w:t>
      </w:r>
      <w:r>
        <w:rPr>
          <w:rFonts w:hint="eastAsia" w:ascii="仿宋_GB2312" w:eastAsia="仿宋_GB2312" w:hAnsiTheme="minorHAnsi"/>
          <w:kern w:val="2"/>
          <w:szCs w:val="32"/>
        </w:rPr>
        <w:t>国资委“</w:t>
      </w:r>
      <w:r>
        <w:rPr>
          <w:rFonts w:ascii="仿宋_GB2312" w:eastAsia="仿宋_GB2312" w:hAnsiTheme="minorHAnsi"/>
          <w:kern w:val="2"/>
          <w:szCs w:val="32"/>
        </w:rPr>
        <w:t>双百企业</w:t>
      </w:r>
      <w:r>
        <w:rPr>
          <w:rFonts w:hint="eastAsia" w:ascii="仿宋_GB2312" w:eastAsia="仿宋_GB2312" w:hAnsiTheme="minorHAnsi"/>
          <w:kern w:val="2"/>
          <w:szCs w:val="32"/>
        </w:rPr>
        <w:t>”</w:t>
      </w:r>
    </w:p>
    <w:p w14:paraId="4B3F287A">
      <w:pPr>
        <w:pStyle w:val="45"/>
        <w:widowControl w:val="0"/>
        <w:numPr>
          <w:ilvl w:val="0"/>
          <w:numId w:val="2"/>
        </w:numPr>
        <w:ind w:firstLineChars="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国家高新技术企业</w:t>
      </w:r>
    </w:p>
    <w:p w14:paraId="6CF45E68">
      <w:pPr>
        <w:pStyle w:val="45"/>
        <w:widowControl w:val="0"/>
        <w:numPr>
          <w:ilvl w:val="0"/>
          <w:numId w:val="2"/>
        </w:numPr>
        <w:ind w:firstLineChars="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天津市猎豹企业</w:t>
      </w:r>
    </w:p>
    <w:p w14:paraId="0A45FE93">
      <w:pPr>
        <w:pStyle w:val="45"/>
        <w:widowControl w:val="0"/>
        <w:numPr>
          <w:ilvl w:val="0"/>
          <w:numId w:val="2"/>
        </w:numPr>
        <w:ind w:firstLineChars="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最具社会责任上市公司</w:t>
      </w:r>
    </w:p>
    <w:p w14:paraId="65C4BCB4">
      <w:pPr>
        <w:pStyle w:val="45"/>
        <w:widowControl w:val="0"/>
        <w:numPr>
          <w:ilvl w:val="0"/>
          <w:numId w:val="2"/>
        </w:numPr>
        <w:ind w:firstLineChars="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最佳基建及公共事业公司</w:t>
      </w:r>
    </w:p>
    <w:p w14:paraId="20F7CEF8">
      <w:pPr>
        <w:pStyle w:val="45"/>
        <w:widowControl w:val="0"/>
        <w:numPr>
          <w:ilvl w:val="0"/>
          <w:numId w:val="2"/>
        </w:numPr>
        <w:ind w:firstLineChars="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最佳可持续发展企业</w:t>
      </w:r>
    </w:p>
    <w:p w14:paraId="01F335EA">
      <w:pPr>
        <w:pStyle w:val="45"/>
        <w:widowControl w:val="0"/>
        <w:numPr>
          <w:ilvl w:val="0"/>
          <w:numId w:val="2"/>
        </w:numPr>
        <w:ind w:firstLineChars="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博士后科研工作站</w:t>
      </w:r>
    </w:p>
    <w:p w14:paraId="442A7AF3">
      <w:pPr>
        <w:pStyle w:val="45"/>
        <w:widowControl w:val="0"/>
        <w:numPr>
          <w:ilvl w:val="0"/>
          <w:numId w:val="2"/>
        </w:numPr>
        <w:ind w:firstLineChars="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天津市企业技术中心</w:t>
      </w:r>
    </w:p>
    <w:p w14:paraId="51BBCE6D">
      <w:pPr>
        <w:pStyle w:val="45"/>
        <w:widowControl w:val="0"/>
        <w:numPr>
          <w:ilvl w:val="0"/>
          <w:numId w:val="2"/>
        </w:numPr>
        <w:ind w:firstLineChars="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智慧燃气技术研究实验中心</w:t>
      </w:r>
    </w:p>
    <w:p w14:paraId="5A27D013">
      <w:pPr>
        <w:pStyle w:val="2"/>
      </w:pPr>
      <w:r>
        <w:rPr>
          <w:rFonts w:hint="eastAsia"/>
        </w:rPr>
        <w:t>五、招聘计划</w:t>
      </w:r>
    </w:p>
    <w:p w14:paraId="43B21836">
      <w:pPr>
        <w:pStyle w:val="3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学历及专业要求</w:t>
      </w:r>
    </w:p>
    <w:p w14:paraId="0D477C49">
      <w:pPr>
        <w:widowControl w:val="0"/>
        <w:ind w:firstLine="640" w:firstLineChars="20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本次校园招聘按三大专业方向分类，培养结束后定岗于公司总部或所属企业：</w:t>
      </w:r>
    </w:p>
    <w:p w14:paraId="083CDFFA">
      <w:pPr>
        <w:pStyle w:val="4"/>
        <w:numPr>
          <w:ilvl w:val="0"/>
          <w:numId w:val="3"/>
        </w:numPr>
      </w:pPr>
      <w:r>
        <w:t>专业</w:t>
      </w:r>
      <w:r>
        <w:rPr>
          <w:rFonts w:hint="eastAsia"/>
        </w:rPr>
        <w:t>技术</w:t>
      </w:r>
      <w:r>
        <w:t>类</w:t>
      </w:r>
      <w:r>
        <w:rPr>
          <w:rFonts w:hint="eastAsia"/>
        </w:rPr>
        <w:t>：</w:t>
      </w:r>
    </w:p>
    <w:p w14:paraId="7777BFF1">
      <w:pPr>
        <w:widowControl w:val="0"/>
        <w:numPr>
          <w:ilvl w:val="0"/>
          <w:numId w:val="4"/>
        </w:numPr>
        <w:ind w:firstLine="640" w:firstLineChars="20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ascii="仿宋_GB2312" w:eastAsia="仿宋_GB2312" w:hAnsiTheme="minorHAnsi"/>
          <w:kern w:val="2"/>
          <w:szCs w:val="32"/>
        </w:rPr>
        <w:t>学历要求：国内高等院校202</w:t>
      </w:r>
      <w:r>
        <w:rPr>
          <w:rFonts w:hint="eastAsia" w:ascii="仿宋_GB2312" w:eastAsia="仿宋_GB2312" w:hAnsiTheme="minorHAnsi"/>
          <w:kern w:val="2"/>
          <w:szCs w:val="32"/>
          <w:lang w:val="en-US" w:eastAsia="zh-CN"/>
        </w:rPr>
        <w:t>7</w:t>
      </w:r>
      <w:r>
        <w:rPr>
          <w:rFonts w:ascii="仿宋_GB2312" w:eastAsia="仿宋_GB2312" w:hAnsiTheme="minorHAnsi"/>
          <w:kern w:val="2"/>
          <w:szCs w:val="32"/>
        </w:rPr>
        <w:t>届全日制本科及以上学历应届毕业生。</w:t>
      </w:r>
    </w:p>
    <w:p w14:paraId="1C052F26">
      <w:pPr>
        <w:widowControl w:val="0"/>
        <w:numPr>
          <w:ilvl w:val="0"/>
          <w:numId w:val="4"/>
        </w:numPr>
        <w:spacing w:line="360" w:lineRule="auto"/>
        <w:ind w:left="0" w:leftChars="0" w:firstLine="640" w:firstLineChars="20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ascii="仿宋_GB2312" w:eastAsia="仿宋_GB2312" w:hAnsiTheme="minorHAnsi"/>
          <w:kern w:val="2"/>
          <w:szCs w:val="32"/>
        </w:rPr>
        <w:t>专业要求：石油工程、油气储运工程</w:t>
      </w:r>
      <w:r>
        <w:rPr>
          <w:rFonts w:hint="eastAsia" w:ascii="仿宋_GB2312" w:eastAsia="仿宋_GB2312" w:hAnsiTheme="minorHAnsi"/>
          <w:kern w:val="2"/>
          <w:szCs w:val="32"/>
          <w:lang w:eastAsia="zh-CN"/>
        </w:rPr>
        <w:t>、</w:t>
      </w:r>
      <w:r>
        <w:rPr>
          <w:rFonts w:ascii="仿宋_GB2312" w:eastAsia="仿宋_GB2312" w:hAnsiTheme="minorHAnsi"/>
          <w:kern w:val="2"/>
          <w:szCs w:val="32"/>
        </w:rPr>
        <w:t>环境工程、安全工程</w:t>
      </w:r>
      <w:r>
        <w:rPr>
          <w:rFonts w:hint="eastAsia" w:ascii="仿宋_GB2312" w:eastAsia="仿宋_GB2312" w:hAnsiTheme="minorHAnsi"/>
          <w:kern w:val="2"/>
          <w:szCs w:val="32"/>
          <w:lang w:eastAsia="zh-CN"/>
        </w:rPr>
        <w:t>、</w:t>
      </w:r>
      <w:r>
        <w:rPr>
          <w:rFonts w:ascii="仿宋_GB2312" w:eastAsia="仿宋_GB2312" w:hAnsiTheme="minorHAnsi"/>
          <w:kern w:val="2"/>
          <w:szCs w:val="32"/>
        </w:rPr>
        <w:t>新能源科学与工程、储能科学与工程</w:t>
      </w:r>
      <w:r>
        <w:rPr>
          <w:rFonts w:hint="eastAsia" w:ascii="仿宋_GB2312" w:eastAsia="仿宋_GB2312" w:hAnsiTheme="minorHAnsi"/>
          <w:kern w:val="2"/>
          <w:szCs w:val="32"/>
          <w:lang w:eastAsia="zh-CN"/>
        </w:rPr>
        <w:t>、</w:t>
      </w:r>
      <w:r>
        <w:rPr>
          <w:rFonts w:hint="eastAsia" w:ascii="仿宋_GB2312" w:eastAsia="仿宋_GB2312" w:hAnsiTheme="minorHAnsi"/>
          <w:kern w:val="2"/>
          <w:szCs w:val="32"/>
          <w:lang w:val="en-US" w:eastAsia="zh-CN"/>
        </w:rPr>
        <w:t>电气工程及其自动化、土木工程、工程管理、工程造价</w:t>
      </w:r>
      <w:r>
        <w:rPr>
          <w:rFonts w:hint="eastAsia" w:ascii="仿宋_GB2312" w:eastAsia="仿宋_GB2312" w:hAnsiTheme="minorHAnsi"/>
          <w:kern w:val="2"/>
          <w:szCs w:val="32"/>
          <w:lang w:eastAsia="zh-CN"/>
        </w:rPr>
        <w:t>、</w:t>
      </w:r>
      <w:r>
        <w:rPr>
          <w:rFonts w:ascii="仿宋_GB2312" w:eastAsia="仿宋_GB2312" w:hAnsiTheme="minorHAnsi"/>
          <w:kern w:val="2"/>
          <w:szCs w:val="32"/>
        </w:rPr>
        <w:t>建筑环境与能源应用工程</w:t>
      </w:r>
      <w:r>
        <w:rPr>
          <w:rFonts w:hint="eastAsia" w:ascii="仿宋_GB2312" w:eastAsia="仿宋_GB2312" w:hAnsiTheme="minorHAnsi"/>
          <w:kern w:val="2"/>
          <w:szCs w:val="32"/>
          <w:lang w:eastAsia="zh-CN"/>
        </w:rPr>
        <w:t>、</w:t>
      </w:r>
      <w:r>
        <w:rPr>
          <w:rFonts w:hint="eastAsia" w:ascii="仿宋_GB2312" w:eastAsia="仿宋_GB2312" w:hAnsiTheme="minorHAnsi"/>
          <w:kern w:val="2"/>
          <w:szCs w:val="32"/>
        </w:rPr>
        <w:t>能源与环境系统工程</w:t>
      </w:r>
      <w:r>
        <w:rPr>
          <w:rFonts w:hint="eastAsia" w:ascii="仿宋_GB2312" w:eastAsia="仿宋_GB2312" w:hAnsiTheme="minorHAnsi"/>
          <w:kern w:val="2"/>
          <w:szCs w:val="32"/>
          <w:lang w:eastAsia="zh-CN"/>
        </w:rPr>
        <w:t>、应急技术与管理、</w:t>
      </w:r>
      <w:r>
        <w:rPr>
          <w:rFonts w:hint="eastAsia" w:ascii="仿宋_GB2312" w:eastAsia="仿宋_GB2312" w:hAnsiTheme="minorHAnsi"/>
          <w:kern w:val="2"/>
          <w:szCs w:val="32"/>
          <w:lang w:val="en-US" w:eastAsia="zh-CN"/>
        </w:rPr>
        <w:t>新能源科学与工程</w:t>
      </w:r>
      <w:r>
        <w:rPr>
          <w:rFonts w:ascii="仿宋_GB2312" w:eastAsia="仿宋_GB2312" w:hAnsiTheme="minorHAnsi"/>
          <w:kern w:val="2"/>
          <w:szCs w:val="32"/>
        </w:rPr>
        <w:t>等相关专业</w:t>
      </w:r>
      <w:r>
        <w:rPr>
          <w:rFonts w:hint="eastAsia" w:ascii="仿宋_GB2312" w:eastAsia="仿宋_GB2312" w:hAnsiTheme="minorHAnsi"/>
          <w:kern w:val="2"/>
          <w:szCs w:val="32"/>
          <w:lang w:eastAsia="zh-CN"/>
        </w:rPr>
        <w:t>。</w:t>
      </w:r>
    </w:p>
    <w:p w14:paraId="3873EAC6">
      <w:pPr>
        <w:keepNext/>
        <w:keepLines/>
        <w:numPr>
          <w:ilvl w:val="0"/>
          <w:numId w:val="3"/>
        </w:numPr>
        <w:spacing w:before="120" w:line="360" w:lineRule="auto"/>
        <w:outlineLvl w:val="2"/>
        <w:rPr>
          <w:rFonts w:ascii="Times New Roman" w:hAnsi="Times New Roman" w:eastAsia="仿宋_GB2312" w:cstheme="majorBidi"/>
          <w:b/>
          <w:spacing w:val="4"/>
          <w:szCs w:val="24"/>
        </w:rPr>
      </w:pPr>
      <w:r>
        <w:rPr>
          <w:rFonts w:ascii="Times New Roman" w:hAnsi="Times New Roman" w:eastAsia="仿宋_GB2312" w:cstheme="majorBidi"/>
          <w:b/>
          <w:spacing w:val="4"/>
          <w:szCs w:val="24"/>
        </w:rPr>
        <w:t>职能</w:t>
      </w:r>
      <w:r>
        <w:rPr>
          <w:rFonts w:hint="eastAsia" w:ascii="Times New Roman" w:hAnsi="Times New Roman" w:eastAsia="仿宋_GB2312" w:cstheme="majorBidi"/>
          <w:b/>
          <w:spacing w:val="4"/>
          <w:szCs w:val="24"/>
        </w:rPr>
        <w:t>支持</w:t>
      </w:r>
      <w:r>
        <w:rPr>
          <w:rFonts w:ascii="Times New Roman" w:hAnsi="Times New Roman" w:eastAsia="仿宋_GB2312" w:cstheme="majorBidi"/>
          <w:b/>
          <w:spacing w:val="4"/>
          <w:szCs w:val="24"/>
        </w:rPr>
        <w:t>类</w:t>
      </w:r>
      <w:r>
        <w:rPr>
          <w:rFonts w:hint="eastAsia" w:ascii="Times New Roman" w:hAnsi="Times New Roman" w:eastAsia="仿宋_GB2312" w:cstheme="majorBidi"/>
          <w:b/>
          <w:spacing w:val="4"/>
          <w:szCs w:val="24"/>
        </w:rPr>
        <w:t>：</w:t>
      </w:r>
    </w:p>
    <w:p w14:paraId="5EB1DB6B">
      <w:pPr>
        <w:widowControl w:val="0"/>
        <w:numPr>
          <w:ilvl w:val="0"/>
          <w:numId w:val="0"/>
        </w:numPr>
        <w:ind w:firstLine="640" w:firstLineChars="20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（1）学历要求：</w:t>
      </w:r>
      <w:r>
        <w:rPr>
          <w:rFonts w:ascii="仿宋_GB2312" w:eastAsia="仿宋_GB2312" w:hAnsiTheme="minorHAnsi"/>
          <w:kern w:val="2"/>
          <w:szCs w:val="32"/>
        </w:rPr>
        <w:t>国内高等院校202</w:t>
      </w:r>
      <w:r>
        <w:rPr>
          <w:rFonts w:hint="eastAsia" w:ascii="仿宋_GB2312" w:eastAsia="仿宋_GB2312" w:hAnsiTheme="minorHAnsi"/>
          <w:kern w:val="2"/>
          <w:szCs w:val="32"/>
          <w:lang w:val="en-US" w:eastAsia="zh-CN"/>
        </w:rPr>
        <w:t>7</w:t>
      </w:r>
      <w:r>
        <w:rPr>
          <w:rFonts w:ascii="仿宋_GB2312" w:eastAsia="仿宋_GB2312" w:hAnsiTheme="minorHAnsi"/>
          <w:kern w:val="2"/>
          <w:szCs w:val="32"/>
        </w:rPr>
        <w:t>届全日制本科及以上学历应届毕业生。</w:t>
      </w:r>
    </w:p>
    <w:p w14:paraId="4AA8BC0B">
      <w:pPr>
        <w:widowControl w:val="0"/>
        <w:ind w:firstLine="640" w:firstLineChars="200"/>
        <w:contextualSpacing w:val="0"/>
        <w:rPr>
          <w:rFonts w:hint="default" w:ascii="仿宋_GB2312" w:eastAsia="仿宋_GB2312" w:hAnsiTheme="minorHAnsi"/>
          <w:kern w:val="2"/>
          <w:szCs w:val="32"/>
          <w:highlight w:val="none"/>
          <w:lang w:val="en-US" w:eastAsia="zh-CN"/>
        </w:rPr>
      </w:pPr>
      <w:r>
        <w:rPr>
          <w:rFonts w:hint="eastAsia" w:ascii="仿宋_GB2312" w:eastAsia="仿宋_GB2312" w:hAnsiTheme="minorHAnsi"/>
          <w:kern w:val="2"/>
          <w:szCs w:val="32"/>
        </w:rPr>
        <w:t>（2）专业要求：</w:t>
      </w:r>
      <w:r>
        <w:rPr>
          <w:rFonts w:hint="eastAsia" w:ascii="仿宋_GB2312" w:eastAsia="仿宋_GB2312" w:hAnsiTheme="minorHAnsi"/>
          <w:kern w:val="2"/>
          <w:szCs w:val="32"/>
          <w:lang w:val="en-US" w:eastAsia="zh-CN"/>
        </w:rPr>
        <w:t>会计学、财务管理、法学、</w:t>
      </w:r>
      <w:r>
        <w:rPr>
          <w:rFonts w:hint="eastAsia" w:ascii="仿宋_GB2312" w:eastAsia="仿宋_GB2312" w:hAnsiTheme="minorHAnsi"/>
          <w:kern w:val="2"/>
          <w:szCs w:val="32"/>
          <w:highlight w:val="none"/>
          <w:lang w:val="en-US" w:eastAsia="zh-CN"/>
        </w:rPr>
        <w:t>纪检监察、人力资源管理等相关专业。</w:t>
      </w:r>
    </w:p>
    <w:p w14:paraId="59B722A7">
      <w:pPr>
        <w:pStyle w:val="4"/>
        <w:numPr>
          <w:ilvl w:val="0"/>
          <w:numId w:val="3"/>
        </w:numPr>
      </w:pPr>
      <w:r>
        <w:t>一线技能类：</w:t>
      </w:r>
    </w:p>
    <w:p w14:paraId="770A8B28">
      <w:pPr>
        <w:widowControl w:val="0"/>
        <w:ind w:firstLine="640" w:firstLineChars="20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（</w:t>
      </w:r>
      <w:r>
        <w:rPr>
          <w:rFonts w:ascii="仿宋_GB2312" w:eastAsia="仿宋_GB2312" w:hAnsiTheme="minorHAnsi"/>
          <w:kern w:val="2"/>
          <w:szCs w:val="32"/>
        </w:rPr>
        <w:t>1）</w:t>
      </w:r>
      <w:r>
        <w:rPr>
          <w:rFonts w:hint="eastAsia" w:ascii="仿宋_GB2312" w:eastAsia="仿宋_GB2312" w:hAnsiTheme="minorHAnsi"/>
          <w:kern w:val="2"/>
          <w:szCs w:val="32"/>
        </w:rPr>
        <w:t>学历要求：国内高等院校</w:t>
      </w:r>
      <w:r>
        <w:rPr>
          <w:rFonts w:ascii="仿宋_GB2312" w:eastAsia="仿宋_GB2312" w:hAnsiTheme="minorHAnsi"/>
          <w:kern w:val="2"/>
          <w:szCs w:val="32"/>
        </w:rPr>
        <w:t>202</w:t>
      </w:r>
      <w:r>
        <w:rPr>
          <w:rFonts w:hint="eastAsia" w:ascii="仿宋_GB2312" w:eastAsia="仿宋_GB2312" w:hAnsiTheme="minorHAnsi"/>
          <w:kern w:val="2"/>
          <w:szCs w:val="32"/>
          <w:lang w:val="en-US" w:eastAsia="zh-CN"/>
        </w:rPr>
        <w:t>7</w:t>
      </w:r>
      <w:r>
        <w:rPr>
          <w:rFonts w:ascii="仿宋_GB2312" w:eastAsia="仿宋_GB2312" w:hAnsiTheme="minorHAnsi"/>
          <w:kern w:val="2"/>
          <w:szCs w:val="32"/>
        </w:rPr>
        <w:t>届全日制专科及以上学历应届毕业生。</w:t>
      </w:r>
    </w:p>
    <w:p w14:paraId="6D52ACF6">
      <w:pPr>
        <w:widowControl w:val="0"/>
        <w:ind w:firstLine="640" w:firstLineChars="20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（</w:t>
      </w:r>
      <w:r>
        <w:rPr>
          <w:rFonts w:ascii="仿宋_GB2312" w:eastAsia="仿宋_GB2312" w:hAnsiTheme="minorHAnsi"/>
          <w:kern w:val="2"/>
          <w:szCs w:val="32"/>
        </w:rPr>
        <w:t>2）</w:t>
      </w:r>
      <w:r>
        <w:rPr>
          <w:rFonts w:hint="eastAsia" w:ascii="仿宋_GB2312" w:eastAsia="仿宋_GB2312" w:hAnsiTheme="minorHAnsi"/>
          <w:kern w:val="2"/>
          <w:szCs w:val="32"/>
        </w:rPr>
        <w:t>专业要求：能源类、机械类、自动化类、工程类等理工科专业方向为主。</w:t>
      </w:r>
    </w:p>
    <w:p w14:paraId="0F068EC9">
      <w:pPr>
        <w:pStyle w:val="3"/>
        <w:rPr>
          <w:rFonts w:ascii="仿宋_GB2312" w:eastAsia="仿宋_GB2312" w:hAnsiTheme="minorHAnsi"/>
          <w:szCs w:val="32"/>
        </w:rPr>
      </w:pPr>
      <w:r>
        <w:rPr>
          <w:rFonts w:hint="eastAsia"/>
          <w:shd w:val="clear" w:color="auto" w:fill="FFFFFF"/>
        </w:rPr>
        <w:t>2</w:t>
      </w:r>
      <w:r>
        <w:rPr>
          <w:shd w:val="clear" w:color="auto" w:fill="FFFFFF"/>
        </w:rPr>
        <w:t>.</w:t>
      </w:r>
      <w:r>
        <w:rPr>
          <w:rFonts w:hint="eastAsia"/>
          <w:shd w:val="clear" w:color="auto" w:fill="FFFFFF"/>
        </w:rPr>
        <w:t>素质要求：</w:t>
      </w:r>
    </w:p>
    <w:p w14:paraId="4D98B3E6">
      <w:pPr>
        <w:widowControl w:val="0"/>
        <w:ind w:firstLine="640" w:firstLineChars="20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（</w:t>
      </w:r>
      <w:r>
        <w:rPr>
          <w:rFonts w:ascii="仿宋_GB2312" w:eastAsia="仿宋_GB2312" w:hAnsiTheme="minorHAnsi"/>
          <w:kern w:val="2"/>
          <w:szCs w:val="32"/>
        </w:rPr>
        <w:t>1）</w:t>
      </w:r>
      <w:r>
        <w:rPr>
          <w:rFonts w:hint="eastAsia" w:ascii="仿宋_GB2312" w:eastAsia="仿宋_GB2312" w:hAnsiTheme="minorHAnsi"/>
          <w:kern w:val="2"/>
          <w:szCs w:val="32"/>
        </w:rPr>
        <w:t>专业技术类、职能支持类应具备本科及以上学历，CET</w:t>
      </w:r>
      <w:r>
        <w:rPr>
          <w:rFonts w:ascii="仿宋_GB2312" w:eastAsia="仿宋_GB2312" w:hAnsiTheme="minorHAnsi"/>
          <w:kern w:val="2"/>
          <w:szCs w:val="32"/>
        </w:rPr>
        <w:t>-4</w:t>
      </w:r>
      <w:r>
        <w:rPr>
          <w:rFonts w:hint="eastAsia" w:ascii="仿宋_GB2312" w:eastAsia="仿宋_GB2312" w:hAnsiTheme="minorHAnsi"/>
          <w:kern w:val="2"/>
          <w:szCs w:val="32"/>
        </w:rPr>
        <w:t>成绩</w:t>
      </w:r>
      <w:r>
        <w:rPr>
          <w:rFonts w:ascii="仿宋_GB2312" w:eastAsia="仿宋_GB2312" w:hAnsiTheme="minorHAnsi"/>
          <w:kern w:val="2"/>
          <w:szCs w:val="32"/>
        </w:rPr>
        <w:t>425分及以上</w:t>
      </w:r>
      <w:r>
        <w:rPr>
          <w:rFonts w:hint="eastAsia" w:ascii="仿宋_GB2312" w:eastAsia="仿宋_GB2312" w:hAnsiTheme="minorHAnsi"/>
          <w:kern w:val="2"/>
          <w:szCs w:val="32"/>
        </w:rPr>
        <w:t>，或留学生</w:t>
      </w:r>
      <w:r>
        <w:rPr>
          <w:rFonts w:ascii="仿宋_GB2312" w:eastAsia="仿宋_GB2312" w:hAnsiTheme="minorHAnsi"/>
          <w:kern w:val="2"/>
          <w:szCs w:val="32"/>
        </w:rPr>
        <w:t>具有较强的外语应用能力</w:t>
      </w:r>
      <w:r>
        <w:rPr>
          <w:rFonts w:hint="eastAsia" w:ascii="仿宋_GB2312" w:eastAsia="仿宋_GB2312" w:hAnsiTheme="minorHAnsi"/>
          <w:kern w:val="2"/>
          <w:szCs w:val="32"/>
        </w:rPr>
        <w:t>。</w:t>
      </w:r>
    </w:p>
    <w:p w14:paraId="36EF5608">
      <w:pPr>
        <w:widowControl w:val="0"/>
        <w:ind w:firstLine="640" w:firstLineChars="20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（</w:t>
      </w:r>
      <w:r>
        <w:rPr>
          <w:rFonts w:ascii="仿宋_GB2312" w:eastAsia="仿宋_GB2312" w:hAnsiTheme="minorHAnsi"/>
          <w:kern w:val="2"/>
          <w:szCs w:val="32"/>
        </w:rPr>
        <w:t>2）掌握计算机操作技能，熟练应用日常办公软件。</w:t>
      </w:r>
    </w:p>
    <w:p w14:paraId="54FC6D3B">
      <w:pPr>
        <w:widowControl w:val="0"/>
        <w:ind w:firstLine="640" w:firstLineChars="20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（</w:t>
      </w:r>
      <w:r>
        <w:rPr>
          <w:rFonts w:ascii="仿宋_GB2312" w:eastAsia="仿宋_GB2312" w:hAnsiTheme="minorHAnsi"/>
          <w:kern w:val="2"/>
          <w:szCs w:val="32"/>
        </w:rPr>
        <w:t>3）</w:t>
      </w:r>
      <w:r>
        <w:rPr>
          <w:rFonts w:hint="eastAsia" w:ascii="仿宋_GB2312" w:eastAsia="仿宋_GB2312" w:hAnsiTheme="minorHAnsi"/>
          <w:kern w:val="2"/>
          <w:szCs w:val="32"/>
        </w:rPr>
        <w:t>具有良好的心理素质和身体条件，满足职业健康要求。</w:t>
      </w:r>
    </w:p>
    <w:p w14:paraId="5DE71E8F">
      <w:pPr>
        <w:widowControl w:val="0"/>
        <w:ind w:firstLine="640" w:firstLineChars="20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（</w:t>
      </w:r>
      <w:r>
        <w:rPr>
          <w:rFonts w:ascii="仿宋_GB2312" w:eastAsia="仿宋_GB2312" w:hAnsiTheme="minorHAnsi"/>
          <w:kern w:val="2"/>
          <w:szCs w:val="32"/>
        </w:rPr>
        <w:t>4）</w:t>
      </w:r>
      <w:r>
        <w:rPr>
          <w:rFonts w:hint="eastAsia" w:ascii="仿宋_GB2312" w:eastAsia="仿宋_GB2312" w:hAnsiTheme="minorHAnsi"/>
          <w:kern w:val="2"/>
          <w:szCs w:val="32"/>
        </w:rPr>
        <w:t>政治素质好，热爱祖国，拥护中国共产党的领导，遵守宪法和法律，作风正派，具有较强的事业心、责任感和高度的组织纪律性，爱岗敬业，勤于思考。</w:t>
      </w:r>
    </w:p>
    <w:p w14:paraId="2F70C4CE">
      <w:pPr>
        <w:pStyle w:val="3"/>
      </w:pPr>
      <w:r>
        <w:t>3</w:t>
      </w:r>
      <w:r>
        <w:rPr>
          <w:rFonts w:hint="eastAsia"/>
        </w:rPr>
        <w:t>.其他要求：</w:t>
      </w:r>
    </w:p>
    <w:p w14:paraId="4D4D882C">
      <w:pPr>
        <w:widowControl w:val="0"/>
        <w:ind w:firstLine="640" w:firstLineChars="20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认同公司企业文化与安全发展理念，服从全国范围内岗位调配与培养安排。</w:t>
      </w:r>
    </w:p>
    <w:p w14:paraId="3FD70699">
      <w:pPr>
        <w:pStyle w:val="2"/>
      </w:pPr>
      <w:r>
        <w:rPr>
          <w:rFonts w:hint="eastAsia"/>
        </w:rPr>
        <w:t>六、薪酬福利</w:t>
      </w:r>
    </w:p>
    <w:p w14:paraId="0FC35D32">
      <w:pPr>
        <w:widowControl w:val="0"/>
        <w:ind w:firstLine="640" w:firstLineChars="200"/>
        <w:contextualSpacing w:val="0"/>
        <w:rPr>
          <w:rFonts w:hint="eastAsia"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1</w:t>
      </w:r>
      <w:r>
        <w:rPr>
          <w:rFonts w:ascii="仿宋_GB2312" w:eastAsia="仿宋_GB2312" w:hAnsiTheme="minorHAnsi"/>
          <w:kern w:val="2"/>
          <w:szCs w:val="32"/>
        </w:rPr>
        <w:t>.</w:t>
      </w:r>
      <w:r>
        <w:rPr>
          <w:rFonts w:hint="eastAsia" w:ascii="仿宋_GB2312" w:eastAsia="仿宋_GB2312" w:hAnsiTheme="minorHAnsi"/>
          <w:kern w:val="2"/>
          <w:szCs w:val="32"/>
        </w:rPr>
        <w:t>薪酬</w:t>
      </w:r>
      <w:r>
        <w:rPr>
          <w:rFonts w:hint="eastAsia" w:ascii="仿宋_GB2312" w:eastAsia="仿宋_GB2312" w:hAnsiTheme="minorHAnsi"/>
          <w:kern w:val="2"/>
          <w:szCs w:val="32"/>
          <w:lang w:val="en-US" w:eastAsia="zh-CN"/>
        </w:rPr>
        <w:t>待遇</w:t>
      </w:r>
      <w:r>
        <w:rPr>
          <w:rFonts w:hint="eastAsia" w:ascii="仿宋_GB2312" w:eastAsia="仿宋_GB2312" w:hAnsiTheme="minorHAnsi"/>
          <w:kern w:val="2"/>
          <w:szCs w:val="32"/>
        </w:rPr>
        <w:t>：</w:t>
      </w:r>
      <w:r>
        <w:rPr>
          <w:rFonts w:ascii="仿宋_GB2312" w:eastAsia="仿宋_GB2312" w:hAnsiTheme="minorHAnsi"/>
          <w:kern w:val="2"/>
          <w:szCs w:val="32"/>
        </w:rPr>
        <w:t>提供具备市场竞争力的薪酬体系，包含基本工资、绩效奖金、年终奖金</w:t>
      </w:r>
      <w:r>
        <w:rPr>
          <w:rFonts w:hint="eastAsia" w:ascii="仿宋_GB2312" w:eastAsia="仿宋_GB2312" w:hAnsiTheme="minorHAnsi"/>
          <w:kern w:val="2"/>
          <w:szCs w:val="32"/>
          <w:lang w:val="en-US" w:eastAsia="zh-CN"/>
        </w:rPr>
        <w:t>等</w:t>
      </w:r>
      <w:r>
        <w:rPr>
          <w:rFonts w:hint="eastAsia" w:ascii="仿宋_GB2312" w:eastAsia="仿宋_GB2312" w:hAnsiTheme="minorHAnsi"/>
          <w:kern w:val="2"/>
          <w:szCs w:val="32"/>
        </w:rPr>
        <w:t>。</w:t>
      </w:r>
    </w:p>
    <w:p w14:paraId="08E883A9">
      <w:pPr>
        <w:widowControl w:val="0"/>
        <w:ind w:firstLine="640" w:firstLineChars="200"/>
        <w:contextualSpacing w:val="0"/>
        <w:rPr>
          <w:rFonts w:hint="eastAsia" w:ascii="仿宋_GB2312" w:eastAsia="仿宋_GB2312" w:hAnsiTheme="minorHAnsi"/>
          <w:kern w:val="2"/>
          <w:szCs w:val="32"/>
          <w:lang w:eastAsia="zh-CN"/>
        </w:rPr>
      </w:pPr>
      <w:r>
        <w:rPr>
          <w:rFonts w:hint="eastAsia" w:ascii="仿宋_GB2312" w:eastAsia="仿宋_GB2312" w:hAnsiTheme="minorHAnsi"/>
          <w:kern w:val="2"/>
          <w:szCs w:val="32"/>
          <w:lang w:val="en-US" w:eastAsia="zh-CN"/>
        </w:rPr>
        <w:t>2、社会保障：</w:t>
      </w:r>
      <w:r>
        <w:rPr>
          <w:rFonts w:ascii="仿宋_GB2312" w:eastAsia="仿宋_GB2312" w:hAnsiTheme="minorHAnsi"/>
          <w:kern w:val="2"/>
          <w:szCs w:val="32"/>
        </w:rPr>
        <w:t>缴纳五险一金</w:t>
      </w:r>
      <w:r>
        <w:rPr>
          <w:rFonts w:hint="eastAsia" w:ascii="仿宋_GB2312" w:eastAsia="仿宋_GB2312" w:hAnsiTheme="minorHAnsi"/>
          <w:kern w:val="2"/>
          <w:szCs w:val="32"/>
          <w:lang w:eastAsia="zh-CN"/>
        </w:rPr>
        <w:t>，</w:t>
      </w:r>
      <w:r>
        <w:rPr>
          <w:rFonts w:hint="eastAsia" w:ascii="仿宋_GB2312" w:eastAsia="仿宋_GB2312" w:hAnsiTheme="minorHAnsi"/>
          <w:kern w:val="2"/>
          <w:szCs w:val="32"/>
          <w:lang w:val="en-US" w:eastAsia="zh-CN"/>
        </w:rPr>
        <w:t>享受</w:t>
      </w:r>
      <w:r>
        <w:rPr>
          <w:rFonts w:ascii="仿宋_GB2312" w:eastAsia="仿宋_GB2312" w:hAnsiTheme="minorHAnsi"/>
          <w:kern w:val="2"/>
          <w:szCs w:val="32"/>
        </w:rPr>
        <w:t>补充养老</w:t>
      </w:r>
      <w:r>
        <w:rPr>
          <w:rFonts w:hint="eastAsia" w:ascii="仿宋_GB2312" w:eastAsia="仿宋_GB2312" w:hAnsiTheme="minorHAnsi"/>
          <w:kern w:val="2"/>
          <w:szCs w:val="32"/>
        </w:rPr>
        <w:t>（依据公司制度）、</w:t>
      </w:r>
      <w:r>
        <w:rPr>
          <w:rFonts w:ascii="仿宋_GB2312" w:eastAsia="仿宋_GB2312" w:hAnsiTheme="minorHAnsi"/>
          <w:kern w:val="2"/>
          <w:szCs w:val="32"/>
        </w:rPr>
        <w:t>补充医疗</w:t>
      </w:r>
      <w:r>
        <w:rPr>
          <w:rFonts w:hint="eastAsia" w:ascii="仿宋_GB2312" w:eastAsia="仿宋_GB2312" w:hAnsiTheme="minorHAnsi"/>
          <w:kern w:val="2"/>
          <w:szCs w:val="32"/>
        </w:rPr>
        <w:t>（依据公司制度）</w:t>
      </w:r>
      <w:r>
        <w:rPr>
          <w:rFonts w:hint="eastAsia" w:ascii="仿宋_GB2312" w:eastAsia="仿宋_GB2312" w:hAnsiTheme="minorHAnsi"/>
          <w:kern w:val="2"/>
          <w:szCs w:val="32"/>
          <w:lang w:eastAsia="zh-CN"/>
        </w:rPr>
        <w:t>。</w:t>
      </w:r>
    </w:p>
    <w:p w14:paraId="77F69521">
      <w:pPr>
        <w:widowControl w:val="0"/>
        <w:ind w:firstLine="640" w:firstLineChars="200"/>
        <w:contextualSpacing w:val="0"/>
        <w:rPr>
          <w:rFonts w:hint="eastAsia" w:ascii="仿宋_GB2312" w:eastAsia="仿宋_GB2312" w:hAnsiTheme="minorHAnsi"/>
          <w:kern w:val="2"/>
          <w:szCs w:val="32"/>
          <w:lang w:val="en-US" w:eastAsia="zh-CN"/>
        </w:rPr>
      </w:pPr>
      <w:r>
        <w:rPr>
          <w:rFonts w:hint="eastAsia" w:ascii="仿宋_GB2312" w:eastAsia="仿宋_GB2312" w:hAnsiTheme="minorHAnsi"/>
          <w:kern w:val="2"/>
          <w:szCs w:val="32"/>
          <w:lang w:val="en-US" w:eastAsia="zh-CN"/>
        </w:rPr>
        <w:t>3、假期保障：享受国家法定节假日、带薪年休假、婚假、产假等各类法定假期。</w:t>
      </w:r>
    </w:p>
    <w:p w14:paraId="643C19ED">
      <w:pPr>
        <w:widowControl w:val="0"/>
        <w:ind w:firstLine="640" w:firstLineChars="200"/>
        <w:contextualSpacing w:val="0"/>
        <w:rPr>
          <w:rFonts w:hint="eastAsia"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  <w:lang w:val="en-US" w:eastAsia="zh-CN"/>
        </w:rPr>
        <w:t>4、</w:t>
      </w:r>
      <w:r>
        <w:rPr>
          <w:rFonts w:hint="eastAsia" w:ascii="仿宋_GB2312" w:eastAsia="仿宋_GB2312" w:hAnsiTheme="minorHAnsi"/>
          <w:kern w:val="2"/>
          <w:szCs w:val="32"/>
        </w:rPr>
        <w:t>生活关怀</w:t>
      </w:r>
      <w:r>
        <w:rPr>
          <w:rFonts w:hint="eastAsia" w:ascii="仿宋_GB2312" w:eastAsia="仿宋_GB2312" w:hAnsiTheme="minorHAnsi"/>
          <w:kern w:val="2"/>
          <w:szCs w:val="32"/>
          <w:lang w:val="en-US" w:eastAsia="zh-CN"/>
        </w:rPr>
        <w:t>：</w:t>
      </w:r>
      <w:r>
        <w:rPr>
          <w:rFonts w:hint="eastAsia" w:ascii="仿宋_GB2312" w:eastAsia="仿宋_GB2312" w:hAnsiTheme="minorHAnsi"/>
          <w:kern w:val="2"/>
          <w:szCs w:val="32"/>
        </w:rPr>
        <w:t>年度健康体检、节日慰问品、生日福利、餐补</w:t>
      </w:r>
      <w:r>
        <w:rPr>
          <w:rFonts w:hint="eastAsia" w:ascii="仿宋_GB2312" w:eastAsia="仿宋_GB2312" w:hAnsiTheme="minorHAnsi"/>
          <w:kern w:val="2"/>
          <w:szCs w:val="32"/>
          <w:lang w:val="en-US" w:eastAsia="zh-CN"/>
        </w:rPr>
        <w:t>等</w:t>
      </w:r>
      <w:r>
        <w:rPr>
          <w:rFonts w:hint="eastAsia" w:ascii="仿宋_GB2312" w:eastAsia="仿宋_GB2312" w:hAnsiTheme="minorHAnsi"/>
          <w:kern w:val="2"/>
          <w:szCs w:val="32"/>
        </w:rPr>
        <w:t>。</w:t>
      </w:r>
    </w:p>
    <w:p w14:paraId="4CDFE214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firstLine="640" w:firstLineChars="200"/>
        <w:rPr>
          <w:rFonts w:hint="eastAsia" w:ascii="仿宋_GB2312" w:eastAsia="仿宋_GB2312" w:hAnsiTheme="minorHAnsi"/>
          <w:kern w:val="2"/>
          <w:szCs w:val="32"/>
          <w:lang w:val="en-US" w:eastAsia="zh-CN"/>
        </w:rPr>
      </w:pPr>
      <w:r>
        <w:rPr>
          <w:rFonts w:hint="eastAsia"/>
          <w:lang w:val="en-US" w:eastAsia="zh-CN"/>
        </w:rPr>
        <w:t>5、</w:t>
      </w:r>
      <w:r>
        <w:t>人才培养</w:t>
      </w:r>
      <w:r>
        <w:rPr>
          <w:rFonts w:hint="eastAsia" w:ascii="仿宋_GB2312" w:eastAsia="仿宋_GB2312" w:hAnsiTheme="minorHAnsi"/>
          <w:kern w:val="2"/>
          <w:szCs w:val="32"/>
          <w:lang w:val="en-US" w:eastAsia="zh-CN"/>
        </w:rPr>
        <w:t>：完善入职岗前培训、导师带教、轮岗学习，畅通管理通道与专业技术双通道晋升。</w:t>
      </w:r>
    </w:p>
    <w:p w14:paraId="0BE8DFB1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 w:firstLine="320" w:firstLineChars="100"/>
        <w:rPr>
          <w:rFonts w:hint="default" w:ascii="仿宋_GB2312" w:eastAsia="仿宋_GB2312" w:hAnsiTheme="minorHAnsi"/>
          <w:kern w:val="2"/>
          <w:szCs w:val="32"/>
          <w:lang w:val="en-US" w:eastAsia="zh-CN"/>
        </w:rPr>
      </w:pPr>
      <w:r>
        <w:rPr>
          <w:rFonts w:hint="eastAsia"/>
          <w:lang w:val="en-US" w:eastAsia="zh-CN"/>
        </w:rPr>
        <w:t>6、</w:t>
      </w:r>
      <w:r>
        <w:t>其他：工会文体活动、员工团建，良好办公环境。</w:t>
      </w:r>
    </w:p>
    <w:p w14:paraId="43E3E264">
      <w:pPr>
        <w:pStyle w:val="2"/>
      </w:pPr>
      <w:r>
        <w:rPr>
          <w:rFonts w:hint="eastAsia"/>
        </w:rPr>
        <w:t>七、职业发展</w:t>
      </w:r>
    </w:p>
    <w:p w14:paraId="4BF6FC63">
      <w:pPr>
        <w:pStyle w:val="45"/>
        <w:widowControl w:val="0"/>
        <w:numPr>
          <w:ilvl w:val="0"/>
          <w:numId w:val="5"/>
        </w:numPr>
        <w:ind w:firstLineChars="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完善的职级晋升、干部选拔机制</w:t>
      </w:r>
    </w:p>
    <w:p w14:paraId="6A7F8D7D">
      <w:pPr>
        <w:pStyle w:val="45"/>
        <w:widowControl w:val="0"/>
        <w:numPr>
          <w:ilvl w:val="0"/>
          <w:numId w:val="5"/>
        </w:numPr>
        <w:ind w:firstLineChars="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优秀者纳入人才库，重点培养</w:t>
      </w:r>
    </w:p>
    <w:p w14:paraId="44629121">
      <w:pPr>
        <w:pStyle w:val="45"/>
        <w:widowControl w:val="0"/>
        <w:numPr>
          <w:ilvl w:val="0"/>
          <w:numId w:val="5"/>
        </w:numPr>
        <w:ind w:firstLineChars="0"/>
        <w:contextualSpacing w:val="0"/>
        <w:rPr>
          <w:rFonts w:ascii="仿宋_GB2312" w:eastAsia="仿宋_GB2312" w:hAnsiTheme="minorHAnsi"/>
          <w:kern w:val="2"/>
          <w:szCs w:val="32"/>
        </w:rPr>
      </w:pPr>
      <w:r>
        <w:rPr>
          <w:rFonts w:hint="eastAsia" w:ascii="仿宋_GB2312" w:eastAsia="仿宋_GB2312" w:hAnsiTheme="minorHAnsi"/>
          <w:kern w:val="2"/>
          <w:szCs w:val="32"/>
        </w:rPr>
        <w:t>快速成长为核心骨干与管理人才</w:t>
      </w:r>
    </w:p>
    <w:p w14:paraId="4444FD5C">
      <w:pPr>
        <w:pStyle w:val="2"/>
        <w:numPr>
          <w:ilvl w:val="0"/>
          <w:numId w:val="6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简历投递</w:t>
      </w:r>
    </w:p>
    <w:p w14:paraId="713C38BD">
      <w:pPr>
        <w:ind w:firstLine="640" w:firstLineChars="200"/>
        <w:rPr>
          <w:rFonts w:hint="eastAsia"/>
        </w:rPr>
      </w:pPr>
      <w:r>
        <w:rPr>
          <w:rFonts w:hint="eastAsia"/>
          <w:lang w:val="en-US" w:eastAsia="zh-CN"/>
        </w:rPr>
        <w:t>有意向同学</w:t>
      </w:r>
      <w:r>
        <w:rPr>
          <w:rFonts w:hint="eastAsia"/>
        </w:rPr>
        <w:t>请将个人简历、在校成绩单、</w:t>
      </w:r>
      <w:r>
        <w:rPr>
          <w:rFonts w:hint="eastAsia"/>
          <w:lang w:val="en-US" w:eastAsia="zh-CN"/>
        </w:rPr>
        <w:t>四六级证书、</w:t>
      </w:r>
      <w:r>
        <w:rPr>
          <w:rFonts w:hint="eastAsia"/>
        </w:rPr>
        <w:t>荣誉证明等应聘资料</w:t>
      </w:r>
      <w:r>
        <w:rPr>
          <w:rFonts w:hint="eastAsia"/>
          <w:lang w:val="en-US" w:eastAsia="zh-CN"/>
        </w:rPr>
        <w:t>合并成单个PDF文件</w:t>
      </w:r>
      <w:r>
        <w:rPr>
          <w:rFonts w:hint="eastAsia"/>
        </w:rPr>
        <w:t>，发送至招聘专用邮箱：gkzp@binhaiinv.com。资格初审完成后，后续面试安排将通过邮件/</w:t>
      </w:r>
      <w:r>
        <w:rPr>
          <w:rFonts w:hint="eastAsia"/>
          <w:lang w:val="en-US" w:eastAsia="zh-CN"/>
        </w:rPr>
        <w:t>电话</w:t>
      </w:r>
      <w:r>
        <w:rPr>
          <w:rFonts w:hint="eastAsia"/>
        </w:rPr>
        <w:t>通知，请保持通</w:t>
      </w:r>
      <w:r>
        <w:rPr>
          <w:rFonts w:hint="eastAsia"/>
          <w:lang w:val="en-US" w:eastAsia="zh-CN"/>
        </w:rPr>
        <w:t>信</w:t>
      </w:r>
      <w:r>
        <w:rPr>
          <w:rFonts w:hint="eastAsia"/>
        </w:rPr>
        <w:t>畅通。</w:t>
      </w:r>
    </w:p>
    <w:p w14:paraId="6D3A22F9">
      <w:pPr>
        <w:rPr>
          <w:rFonts w:hint="eastAsia"/>
        </w:rPr>
      </w:pPr>
      <w:r>
        <w:rPr>
          <w:rFonts w:hint="eastAsia"/>
          <w:lang w:val="en-US" w:eastAsia="zh-CN"/>
        </w:rPr>
        <w:t>注：1、</w:t>
      </w:r>
      <w:r>
        <w:rPr>
          <w:rFonts w:hint="eastAsia"/>
        </w:rPr>
        <w:t>应聘人员应对提交材料的真实性负责，一经发现弄虚作假，取消应聘及录用资格；</w:t>
      </w:r>
    </w:p>
    <w:p w14:paraId="014A78E7">
      <w:pPr>
        <w:ind w:firstLine="640" w:firstLineChars="200"/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>邮件主题</w:t>
      </w:r>
      <w:r>
        <w:rPr>
          <w:rFonts w:hint="eastAsia"/>
          <w:lang w:val="en-US" w:eastAsia="zh-CN"/>
        </w:rPr>
        <w:t>统一格式：</w:t>
      </w:r>
      <w:r>
        <w:rPr>
          <w:rFonts w:hint="eastAsia"/>
        </w:rPr>
        <w:t>应聘岗位-姓名-毕业院校-</w:t>
      </w:r>
      <w:r>
        <w:rPr>
          <w:rFonts w:hint="eastAsia"/>
          <w:lang w:val="en-US" w:eastAsia="zh-CN"/>
        </w:rPr>
        <w:t>学历-专业-手机号码；</w:t>
      </w:r>
    </w:p>
    <w:p w14:paraId="6AC6FB8C">
      <w:pPr>
        <w:ind w:firstLine="640" w:firstLineChars="2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简历投递截止时间：</w:t>
      </w:r>
      <w:r>
        <w:rPr>
          <w:rFonts w:hint="eastAsia"/>
          <w:lang w:val="en-US" w:eastAsia="zh-CN"/>
        </w:rPr>
        <w:t>2026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28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>18:00</w:t>
      </w:r>
      <w:r>
        <w:rPr>
          <w:rFonts w:hint="eastAsia"/>
          <w:lang w:eastAsia="zh-CN"/>
        </w:rPr>
        <w:t>；</w:t>
      </w:r>
    </w:p>
    <w:p w14:paraId="5FC4232D">
      <w:pPr>
        <w:ind w:firstLine="64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</w:t>
      </w:r>
      <w:r>
        <w:rPr>
          <w:rFonts w:hint="eastAsia"/>
        </w:rPr>
        <w:t>请勿</w:t>
      </w:r>
      <w:bookmarkStart w:id="0" w:name="_GoBack"/>
      <w:bookmarkEnd w:id="0"/>
      <w:r>
        <w:rPr>
          <w:rFonts w:hint="eastAsia"/>
        </w:rPr>
        <w:t>重复投递同一岗位，材料不全、命名不符合规范的简历将不予筛选</w:t>
      </w:r>
      <w:r>
        <w:rPr>
          <w:rFonts w:hint="eastAsia"/>
          <w:lang w:eastAsia="zh-CN"/>
        </w:rPr>
        <w:t>。</w:t>
      </w:r>
    </w:p>
    <w:p w14:paraId="6B6718B1">
      <w:pPr>
        <w:ind w:firstLine="1280" w:firstLineChars="400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8FCE96"/>
    <w:multiLevelType w:val="singleLevel"/>
    <w:tmpl w:val="1F8FCE96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D964AF1"/>
    <w:multiLevelType w:val="singleLevel"/>
    <w:tmpl w:val="2D964AF1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3748025D"/>
    <w:multiLevelType w:val="multilevel"/>
    <w:tmpl w:val="3748025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39B342C6"/>
    <w:multiLevelType w:val="multilevel"/>
    <w:tmpl w:val="39B342C6"/>
    <w:lvl w:ilvl="0" w:tentative="0">
      <w:start w:val="1"/>
      <w:numFmt w:val="bullet"/>
      <w:lvlText w:val=""/>
      <w:lvlJc w:val="left"/>
      <w:pPr>
        <w:ind w:left="106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3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7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20" w:hanging="420"/>
      </w:pPr>
      <w:rPr>
        <w:rFonts w:hint="default" w:ascii="Wingdings" w:hAnsi="Wingdings"/>
      </w:rPr>
    </w:lvl>
  </w:abstractNum>
  <w:abstractNum w:abstractNumId="4">
    <w:nsid w:val="493B1A40"/>
    <w:multiLevelType w:val="multilevel"/>
    <w:tmpl w:val="493B1A40"/>
    <w:lvl w:ilvl="0" w:tentative="0">
      <w:start w:val="1"/>
      <w:numFmt w:val="bullet"/>
      <w:lvlText w:val=""/>
      <w:lvlJc w:val="left"/>
      <w:pPr>
        <w:ind w:left="106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3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7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20" w:hanging="420"/>
      </w:pPr>
      <w:rPr>
        <w:rFonts w:hint="default" w:ascii="Wingdings" w:hAnsi="Wingdings"/>
      </w:rPr>
    </w:lvl>
  </w:abstractNum>
  <w:abstractNum w:abstractNumId="5">
    <w:nsid w:val="7DAE444B"/>
    <w:multiLevelType w:val="multilevel"/>
    <w:tmpl w:val="7DAE444B"/>
    <w:lvl w:ilvl="0" w:tentative="0">
      <w:start w:val="1"/>
      <w:numFmt w:val="bullet"/>
      <w:lvlText w:val=""/>
      <w:lvlJc w:val="left"/>
      <w:pPr>
        <w:ind w:left="106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3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7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20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C99"/>
    <w:rsid w:val="00005392"/>
    <w:rsid w:val="00005927"/>
    <w:rsid w:val="000154B4"/>
    <w:rsid w:val="00027864"/>
    <w:rsid w:val="000375FF"/>
    <w:rsid w:val="0007345E"/>
    <w:rsid w:val="000F4194"/>
    <w:rsid w:val="00111531"/>
    <w:rsid w:val="00111952"/>
    <w:rsid w:val="00133B00"/>
    <w:rsid w:val="00172B56"/>
    <w:rsid w:val="00196ED2"/>
    <w:rsid w:val="001A1C55"/>
    <w:rsid w:val="001F3C3F"/>
    <w:rsid w:val="001F5386"/>
    <w:rsid w:val="00225F2D"/>
    <w:rsid w:val="00283DEB"/>
    <w:rsid w:val="0029041C"/>
    <w:rsid w:val="002919E5"/>
    <w:rsid w:val="00295E6C"/>
    <w:rsid w:val="00341EF9"/>
    <w:rsid w:val="003A1E24"/>
    <w:rsid w:val="00445236"/>
    <w:rsid w:val="00462C53"/>
    <w:rsid w:val="004777D1"/>
    <w:rsid w:val="004878A2"/>
    <w:rsid w:val="004A26E0"/>
    <w:rsid w:val="004F7BAF"/>
    <w:rsid w:val="00507C3F"/>
    <w:rsid w:val="00591D52"/>
    <w:rsid w:val="005A3D2F"/>
    <w:rsid w:val="005D7AF0"/>
    <w:rsid w:val="005E772F"/>
    <w:rsid w:val="006312CE"/>
    <w:rsid w:val="006335AA"/>
    <w:rsid w:val="0066368E"/>
    <w:rsid w:val="00674BDE"/>
    <w:rsid w:val="006A1851"/>
    <w:rsid w:val="006C3475"/>
    <w:rsid w:val="006C68AD"/>
    <w:rsid w:val="006D1868"/>
    <w:rsid w:val="006E4A2D"/>
    <w:rsid w:val="006F2621"/>
    <w:rsid w:val="00707363"/>
    <w:rsid w:val="00712A6D"/>
    <w:rsid w:val="00745940"/>
    <w:rsid w:val="007767A4"/>
    <w:rsid w:val="007A3684"/>
    <w:rsid w:val="007A3C7B"/>
    <w:rsid w:val="007A4233"/>
    <w:rsid w:val="007F0B00"/>
    <w:rsid w:val="00810064"/>
    <w:rsid w:val="00814905"/>
    <w:rsid w:val="00827F35"/>
    <w:rsid w:val="0083235D"/>
    <w:rsid w:val="00865708"/>
    <w:rsid w:val="00892794"/>
    <w:rsid w:val="008A660B"/>
    <w:rsid w:val="008B1D5F"/>
    <w:rsid w:val="008C106F"/>
    <w:rsid w:val="00935A34"/>
    <w:rsid w:val="00950938"/>
    <w:rsid w:val="0098276E"/>
    <w:rsid w:val="009942C6"/>
    <w:rsid w:val="009C65D2"/>
    <w:rsid w:val="009D0A8B"/>
    <w:rsid w:val="00A257CB"/>
    <w:rsid w:val="00A3006B"/>
    <w:rsid w:val="00A35205"/>
    <w:rsid w:val="00A50E00"/>
    <w:rsid w:val="00AE43AB"/>
    <w:rsid w:val="00B50179"/>
    <w:rsid w:val="00B95240"/>
    <w:rsid w:val="00C13250"/>
    <w:rsid w:val="00C22CBB"/>
    <w:rsid w:val="00C30898"/>
    <w:rsid w:val="00C34322"/>
    <w:rsid w:val="00C4749F"/>
    <w:rsid w:val="00C80E99"/>
    <w:rsid w:val="00C86B63"/>
    <w:rsid w:val="00CC530C"/>
    <w:rsid w:val="00CD45DC"/>
    <w:rsid w:val="00D01C27"/>
    <w:rsid w:val="00D1148E"/>
    <w:rsid w:val="00D3070A"/>
    <w:rsid w:val="00D31862"/>
    <w:rsid w:val="00D517C2"/>
    <w:rsid w:val="00D625F4"/>
    <w:rsid w:val="00D80F63"/>
    <w:rsid w:val="00DC1C2C"/>
    <w:rsid w:val="00DC2A82"/>
    <w:rsid w:val="00DC7BA4"/>
    <w:rsid w:val="00DF4BD5"/>
    <w:rsid w:val="00E02CE7"/>
    <w:rsid w:val="00E06708"/>
    <w:rsid w:val="00E152E7"/>
    <w:rsid w:val="00E3714F"/>
    <w:rsid w:val="00E42EAA"/>
    <w:rsid w:val="00E53A59"/>
    <w:rsid w:val="00E55511"/>
    <w:rsid w:val="00E60D93"/>
    <w:rsid w:val="00EC4D8C"/>
    <w:rsid w:val="00EE6C99"/>
    <w:rsid w:val="00EF33F4"/>
    <w:rsid w:val="00F27CF6"/>
    <w:rsid w:val="00F506A3"/>
    <w:rsid w:val="00F9635F"/>
    <w:rsid w:val="00FA2204"/>
    <w:rsid w:val="00FA36E4"/>
    <w:rsid w:val="00FA4282"/>
    <w:rsid w:val="00FB1FAD"/>
    <w:rsid w:val="00FB54D3"/>
    <w:rsid w:val="00FD25CD"/>
    <w:rsid w:val="0DA41AC3"/>
    <w:rsid w:val="2FA554FB"/>
    <w:rsid w:val="32F347CF"/>
    <w:rsid w:val="37173B88"/>
    <w:rsid w:val="519D4775"/>
    <w:rsid w:val="61724770"/>
    <w:rsid w:val="67334BBF"/>
    <w:rsid w:val="69C04704"/>
    <w:rsid w:val="78F7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  <w:contextualSpacing/>
      <w:jc w:val="both"/>
    </w:pPr>
    <w:rPr>
      <w:rFonts w:ascii="仿宋" w:hAnsi="仿宋" w:eastAsia="仿宋" w:cstheme="minorBidi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line="360" w:lineRule="auto"/>
      <w:outlineLvl w:val="0"/>
    </w:pPr>
    <w:rPr>
      <w:rFonts w:ascii="黑体" w:hAnsi="黑体" w:eastAsia="黑体" w:cstheme="majorBidi"/>
      <w:b/>
      <w:bCs/>
      <w:caps/>
      <w:spacing w:val="4"/>
      <w:szCs w:val="28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120"/>
      <w:outlineLvl w:val="1"/>
    </w:pPr>
    <w:rPr>
      <w:rFonts w:ascii="楷体" w:hAnsi="楷体" w:eastAsia="楷体" w:cstheme="majorBidi"/>
      <w:b/>
      <w:bCs/>
      <w:szCs w:val="28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120" w:line="360" w:lineRule="auto"/>
      <w:outlineLvl w:val="2"/>
    </w:pPr>
    <w:rPr>
      <w:rFonts w:ascii="Times New Roman" w:hAnsi="Times New Roman" w:eastAsia="仿宋_GB2312" w:cstheme="majorBidi"/>
      <w:b/>
      <w:spacing w:val="4"/>
      <w:szCs w:val="24"/>
    </w:rPr>
  </w:style>
  <w:style w:type="paragraph" w:styleId="5">
    <w:name w:val="heading 4"/>
    <w:basedOn w:val="1"/>
    <w:next w:val="1"/>
    <w:link w:val="24"/>
    <w:unhideWhenUsed/>
    <w:qFormat/>
    <w:uiPriority w:val="9"/>
    <w:pPr>
      <w:keepNext/>
      <w:keepLines/>
      <w:spacing w:before="120"/>
      <w:outlineLvl w:val="3"/>
    </w:pPr>
    <w:rPr>
      <w:rFonts w:asciiTheme="majorHAnsi" w:hAnsiTheme="majorHAnsi" w:eastAsiaTheme="majorEastAsia" w:cstheme="majorBidi"/>
      <w:i/>
      <w:iCs/>
      <w:sz w:val="24"/>
      <w:szCs w:val="24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120"/>
      <w:outlineLvl w:val="4"/>
    </w:pPr>
    <w:rPr>
      <w:rFonts w:asciiTheme="majorHAnsi" w:hAnsiTheme="majorHAnsi" w:eastAsiaTheme="majorEastAsia" w:cstheme="majorBidi"/>
      <w:b/>
      <w:bCs/>
      <w:sz w:val="22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120"/>
      <w:outlineLvl w:val="5"/>
    </w:pPr>
    <w:rPr>
      <w:rFonts w:asciiTheme="majorHAnsi" w:hAnsiTheme="majorHAnsi" w:eastAsiaTheme="majorEastAsia" w:cstheme="majorBidi"/>
      <w:b/>
      <w:bCs/>
      <w:i/>
      <w:iCs/>
      <w:sz w:val="22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120"/>
      <w:outlineLvl w:val="6"/>
    </w:pPr>
    <w:rPr>
      <w:rFonts w:asciiTheme="minorHAnsi" w:hAnsiTheme="minorHAnsi" w:eastAsiaTheme="minorEastAsia"/>
      <w:i/>
      <w:iCs/>
      <w:sz w:val="22"/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before="120"/>
      <w:outlineLvl w:val="7"/>
    </w:pPr>
    <w:rPr>
      <w:rFonts w:asciiTheme="minorHAnsi" w:hAnsiTheme="minorHAnsi" w:eastAsiaTheme="minorEastAsia"/>
      <w:b/>
      <w:bCs/>
      <w:sz w:val="22"/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before="120"/>
      <w:outlineLvl w:val="8"/>
    </w:pPr>
    <w:rPr>
      <w:rFonts w:asciiTheme="minorHAnsi" w:hAnsiTheme="minorHAnsi" w:eastAsiaTheme="minorEastAsia"/>
      <w:i/>
      <w:iCs/>
      <w:sz w:val="2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35"/>
    <w:rPr>
      <w:b/>
      <w:bCs/>
      <w:sz w:val="18"/>
      <w:szCs w:val="18"/>
    </w:rPr>
  </w:style>
  <w:style w:type="paragraph" w:styleId="12">
    <w:name w:val="footer"/>
    <w:basedOn w:val="1"/>
    <w:link w:val="4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1"/>
    <w:qFormat/>
    <w:uiPriority w:val="11"/>
    <w:pPr>
      <w:spacing w:after="240"/>
      <w:jc w:val="center"/>
    </w:pPr>
    <w:rPr>
      <w:rFonts w:asciiTheme="majorHAnsi" w:hAnsiTheme="majorHAnsi" w:eastAsiaTheme="majorEastAsia" w:cstheme="majorBidi"/>
      <w:sz w:val="24"/>
      <w:szCs w:val="24"/>
    </w:rPr>
  </w:style>
  <w:style w:type="paragraph" w:styleId="15">
    <w:name w:val="Title"/>
    <w:basedOn w:val="1"/>
    <w:next w:val="1"/>
    <w:link w:val="30"/>
    <w:qFormat/>
    <w:uiPriority w:val="10"/>
    <w:pPr>
      <w:spacing w:before="50" w:beforeLines="50" w:after="50" w:afterLines="50" w:line="360" w:lineRule="auto"/>
      <w:jc w:val="center"/>
    </w:pPr>
    <w:rPr>
      <w:rFonts w:ascii="黑体" w:hAnsi="黑体" w:eastAsia="黑体" w:cstheme="majorBidi"/>
      <w:b/>
      <w:bCs/>
      <w:spacing w:val="-7"/>
      <w:sz w:val="40"/>
      <w:szCs w:val="48"/>
    </w:rPr>
  </w:style>
  <w:style w:type="character" w:styleId="18">
    <w:name w:val="Strong"/>
    <w:basedOn w:val="17"/>
    <w:qFormat/>
    <w:uiPriority w:val="22"/>
    <w:rPr>
      <w:b/>
      <w:bCs/>
      <w:color w:val="auto"/>
    </w:rPr>
  </w:style>
  <w:style w:type="character" w:styleId="19">
    <w:name w:val="Emphasis"/>
    <w:basedOn w:val="17"/>
    <w:qFormat/>
    <w:uiPriority w:val="20"/>
    <w:rPr>
      <w:i/>
      <w:iCs/>
      <w:color w:val="auto"/>
    </w:rPr>
  </w:style>
  <w:style w:type="character" w:styleId="20">
    <w:name w:val="Hyperlink"/>
    <w:basedOn w:val="1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标题 1 字符"/>
    <w:basedOn w:val="17"/>
    <w:link w:val="2"/>
    <w:qFormat/>
    <w:uiPriority w:val="9"/>
    <w:rPr>
      <w:rFonts w:ascii="黑体" w:hAnsi="黑体" w:eastAsia="黑体" w:cstheme="majorBidi"/>
      <w:b/>
      <w:bCs/>
      <w:caps/>
      <w:spacing w:val="4"/>
      <w:sz w:val="32"/>
      <w:szCs w:val="28"/>
    </w:rPr>
  </w:style>
  <w:style w:type="character" w:customStyle="1" w:styleId="22">
    <w:name w:val="标题 2 字符"/>
    <w:basedOn w:val="17"/>
    <w:link w:val="3"/>
    <w:qFormat/>
    <w:uiPriority w:val="9"/>
    <w:rPr>
      <w:rFonts w:ascii="楷体" w:hAnsi="楷体" w:eastAsia="楷体" w:cstheme="majorBidi"/>
      <w:b/>
      <w:bCs/>
      <w:sz w:val="32"/>
      <w:szCs w:val="28"/>
    </w:rPr>
  </w:style>
  <w:style w:type="character" w:customStyle="1" w:styleId="23">
    <w:name w:val="标题 3 字符"/>
    <w:basedOn w:val="17"/>
    <w:link w:val="4"/>
    <w:qFormat/>
    <w:uiPriority w:val="9"/>
    <w:rPr>
      <w:rFonts w:ascii="Times New Roman" w:hAnsi="Times New Roman" w:eastAsia="仿宋_GB2312" w:cstheme="majorBidi"/>
      <w:b/>
      <w:spacing w:val="4"/>
      <w:sz w:val="32"/>
      <w:szCs w:val="24"/>
    </w:rPr>
  </w:style>
  <w:style w:type="character" w:customStyle="1" w:styleId="24">
    <w:name w:val="标题 4 字符"/>
    <w:basedOn w:val="17"/>
    <w:link w:val="5"/>
    <w:qFormat/>
    <w:uiPriority w:val="9"/>
    <w:rPr>
      <w:rFonts w:asciiTheme="majorHAnsi" w:hAnsiTheme="majorHAnsi" w:eastAsiaTheme="majorEastAsia" w:cstheme="majorBidi"/>
      <w:i/>
      <w:iCs/>
      <w:sz w:val="24"/>
      <w:szCs w:val="24"/>
    </w:rPr>
  </w:style>
  <w:style w:type="character" w:customStyle="1" w:styleId="25">
    <w:name w:val="标题 5 字符"/>
    <w:basedOn w:val="17"/>
    <w:link w:val="6"/>
    <w:semiHidden/>
    <w:qFormat/>
    <w:uiPriority w:val="9"/>
    <w:rPr>
      <w:rFonts w:asciiTheme="majorHAnsi" w:hAnsiTheme="majorHAnsi" w:eastAsiaTheme="majorEastAsia" w:cstheme="majorBidi"/>
      <w:b/>
      <w:bCs/>
    </w:rPr>
  </w:style>
  <w:style w:type="character" w:customStyle="1" w:styleId="26">
    <w:name w:val="标题 6 字符"/>
    <w:basedOn w:val="17"/>
    <w:link w:val="7"/>
    <w:semiHidden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7">
    <w:name w:val="标题 7 字符"/>
    <w:basedOn w:val="17"/>
    <w:link w:val="8"/>
    <w:semiHidden/>
    <w:qFormat/>
    <w:uiPriority w:val="9"/>
    <w:rPr>
      <w:i/>
      <w:iCs/>
    </w:rPr>
  </w:style>
  <w:style w:type="character" w:customStyle="1" w:styleId="28">
    <w:name w:val="标题 8 字符"/>
    <w:basedOn w:val="17"/>
    <w:link w:val="9"/>
    <w:semiHidden/>
    <w:qFormat/>
    <w:uiPriority w:val="9"/>
    <w:rPr>
      <w:b/>
      <w:bCs/>
    </w:rPr>
  </w:style>
  <w:style w:type="character" w:customStyle="1" w:styleId="29">
    <w:name w:val="标题 9 字符"/>
    <w:basedOn w:val="17"/>
    <w:link w:val="10"/>
    <w:semiHidden/>
    <w:qFormat/>
    <w:uiPriority w:val="9"/>
    <w:rPr>
      <w:i/>
      <w:iCs/>
    </w:rPr>
  </w:style>
  <w:style w:type="character" w:customStyle="1" w:styleId="30">
    <w:name w:val="标题 字符"/>
    <w:basedOn w:val="17"/>
    <w:link w:val="15"/>
    <w:qFormat/>
    <w:uiPriority w:val="10"/>
    <w:rPr>
      <w:rFonts w:ascii="黑体" w:hAnsi="黑体" w:eastAsia="黑体" w:cstheme="majorBidi"/>
      <w:b/>
      <w:bCs/>
      <w:spacing w:val="-7"/>
      <w:sz w:val="40"/>
      <w:szCs w:val="48"/>
    </w:rPr>
  </w:style>
  <w:style w:type="character" w:customStyle="1" w:styleId="31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sz w:val="24"/>
      <w:szCs w:val="24"/>
    </w:rPr>
  </w:style>
  <w:style w:type="paragraph" w:styleId="32">
    <w:name w:val="No Spacing"/>
    <w:qFormat/>
    <w:uiPriority w:val="1"/>
    <w:pPr>
      <w:spacing w:after="0" w:line="240" w:lineRule="auto"/>
      <w:jc w:val="both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33">
    <w:name w:val="Quote"/>
    <w:basedOn w:val="1"/>
    <w:next w:val="1"/>
    <w:link w:val="34"/>
    <w:qFormat/>
    <w:uiPriority w:val="29"/>
    <w:pPr>
      <w:spacing w:before="200" w:line="264" w:lineRule="auto"/>
      <w:ind w:left="864" w:right="864"/>
      <w:jc w:val="center"/>
    </w:pPr>
    <w:rPr>
      <w:rFonts w:asciiTheme="majorHAnsi" w:hAnsiTheme="majorHAnsi" w:eastAsiaTheme="majorEastAsia" w:cstheme="majorBidi"/>
      <w:i/>
      <w:iCs/>
      <w:sz w:val="24"/>
      <w:szCs w:val="24"/>
    </w:rPr>
  </w:style>
  <w:style w:type="character" w:customStyle="1" w:styleId="34">
    <w:name w:val="引用 字符"/>
    <w:basedOn w:val="17"/>
    <w:link w:val="33"/>
    <w:qFormat/>
    <w:uiPriority w:val="29"/>
    <w:rPr>
      <w:rFonts w:asciiTheme="majorHAnsi" w:hAnsiTheme="majorHAnsi" w:eastAsiaTheme="majorEastAsia" w:cstheme="majorBidi"/>
      <w:i/>
      <w:iCs/>
      <w:sz w:val="24"/>
      <w:szCs w:val="24"/>
    </w:rPr>
  </w:style>
  <w:style w:type="paragraph" w:styleId="35">
    <w:name w:val="Intense Quote"/>
    <w:basedOn w:val="1"/>
    <w:next w:val="1"/>
    <w:link w:val="36"/>
    <w:qFormat/>
    <w:uiPriority w:val="30"/>
    <w:pPr>
      <w:spacing w:before="100" w:beforeAutospacing="1" w:after="240"/>
      <w:ind w:left="936" w:right="936"/>
      <w:jc w:val="center"/>
    </w:pPr>
    <w:rPr>
      <w:rFonts w:asciiTheme="majorHAnsi" w:hAnsiTheme="majorHAnsi" w:eastAsiaTheme="majorEastAsia" w:cstheme="majorBidi"/>
      <w:sz w:val="26"/>
      <w:szCs w:val="26"/>
    </w:rPr>
  </w:style>
  <w:style w:type="character" w:customStyle="1" w:styleId="36">
    <w:name w:val="明显引用 字符"/>
    <w:basedOn w:val="17"/>
    <w:link w:val="35"/>
    <w:qFormat/>
    <w:uiPriority w:val="30"/>
    <w:rPr>
      <w:rFonts w:asciiTheme="majorHAnsi" w:hAnsiTheme="majorHAnsi" w:eastAsiaTheme="majorEastAsia" w:cstheme="majorBidi"/>
      <w:sz w:val="26"/>
      <w:szCs w:val="26"/>
    </w:rPr>
  </w:style>
  <w:style w:type="character" w:customStyle="1" w:styleId="37">
    <w:name w:val="Subtle Emphasis"/>
    <w:basedOn w:val="17"/>
    <w:qFormat/>
    <w:uiPriority w:val="19"/>
    <w:rPr>
      <w:i/>
      <w:iCs/>
      <w:color w:val="auto"/>
    </w:rPr>
  </w:style>
  <w:style w:type="character" w:customStyle="1" w:styleId="38">
    <w:name w:val="Intense Emphasis"/>
    <w:basedOn w:val="17"/>
    <w:qFormat/>
    <w:uiPriority w:val="21"/>
    <w:rPr>
      <w:b/>
      <w:bCs/>
      <w:i/>
      <w:iCs/>
      <w:color w:val="auto"/>
    </w:rPr>
  </w:style>
  <w:style w:type="character" w:customStyle="1" w:styleId="39">
    <w:name w:val="Subtle Reference"/>
    <w:basedOn w:val="17"/>
    <w:qFormat/>
    <w:uiPriority w:val="31"/>
    <w:rPr>
      <w:smallCaps/>
      <w:color w:val="auto"/>
      <w:u w:val="single" w:color="7E7E7E" w:themeColor="text1" w:themeTint="80"/>
    </w:rPr>
  </w:style>
  <w:style w:type="character" w:customStyle="1" w:styleId="40">
    <w:name w:val="Intense Reference"/>
    <w:basedOn w:val="17"/>
    <w:qFormat/>
    <w:uiPriority w:val="32"/>
    <w:rPr>
      <w:b/>
      <w:bCs/>
      <w:smallCaps/>
      <w:color w:val="auto"/>
      <w:u w:val="single"/>
    </w:rPr>
  </w:style>
  <w:style w:type="character" w:customStyle="1" w:styleId="41">
    <w:name w:val="Book Title"/>
    <w:basedOn w:val="17"/>
    <w:qFormat/>
    <w:uiPriority w:val="33"/>
    <w:rPr>
      <w:b/>
      <w:bCs/>
      <w:smallCaps/>
      <w:color w:val="auto"/>
    </w:rPr>
  </w:style>
  <w:style w:type="paragraph" w:customStyle="1" w:styleId="42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43">
    <w:name w:val="页眉 字符"/>
    <w:basedOn w:val="17"/>
    <w:link w:val="13"/>
    <w:qFormat/>
    <w:uiPriority w:val="99"/>
    <w:rPr>
      <w:rFonts w:ascii="仿宋" w:hAnsi="仿宋" w:eastAsia="仿宋"/>
      <w:sz w:val="18"/>
      <w:szCs w:val="18"/>
    </w:rPr>
  </w:style>
  <w:style w:type="character" w:customStyle="1" w:styleId="44">
    <w:name w:val="页脚 字符"/>
    <w:basedOn w:val="17"/>
    <w:link w:val="12"/>
    <w:qFormat/>
    <w:uiPriority w:val="99"/>
    <w:rPr>
      <w:rFonts w:ascii="仿宋" w:hAnsi="仿宋" w:eastAsia="仿宋"/>
      <w:sz w:val="18"/>
      <w:szCs w:val="18"/>
    </w:rPr>
  </w:style>
  <w:style w:type="paragraph" w:styleId="4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6</Pages>
  <Words>1874</Words>
  <Characters>1940</Characters>
  <Lines>14</Lines>
  <Paragraphs>4</Paragraphs>
  <TotalTime>5</TotalTime>
  <ScaleCrop>false</ScaleCrop>
  <LinksUpToDate>false</LinksUpToDate>
  <CharactersWithSpaces>1940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2026-05-06T02:43:00Z</dcterms:created>
  <dc:creator>张云芳</dc:creator>
  <cp:lastModifiedBy>螃蟹</cp:lastModifiedBy>
  <dcterms:modified xsi:type="dcterms:W3CDTF">2026-10-15T09:25:37Z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</vt:lpwstr>
  </property>
  <property fmtid="{D5CDD505-2E9C-101B-9397-08002B2CF9AE}" pid="3" name="KSOTemplateDocerSaveRecord">
    <vt:lpwstr>eyJoZGlkIjoiZjgzODJmNjNhNzJkMjg2MTU5ZTZlNmJmYmVkNzcxMDciLCJ1c2VySWQiOiI2MDI3Nzc2NDMifQ==</vt:lpwstr>
  </property>
  <property fmtid="{D5CDD505-2E9C-101B-9397-08002B2CF9AE}" pid="4" name="KSOProductBuildVer">
    <vt:lpwstr>2052-12.1.0.28505</vt:lpwstr>
  </property>
  <property fmtid="{D5CDD505-2E9C-101B-9397-08002B2CF9AE}" pid="5" name="ICV">
    <vt:lpwstr>B40FE5F7E7614AB2892FBD0B0DBD6BEB_13</vt:lpwstr>
  </property>
</Properties>
</file>