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E0005">
      <w:pPr>
        <w:pStyle w:val="19"/>
        <w:widowControl/>
        <w:shd w:val="clear" w:fill="FFFFFF"/>
        <w:rPr>
          <w:rFonts w:ascii="黑体" w:hAnsi="黑体" w:eastAsia="黑体" w:cs="黑体"/>
          <w:b w:val="0"/>
          <w:bCs w:val="0"/>
          <w:sz w:val="32"/>
          <w:szCs w:val="32"/>
        </w:rPr>
      </w:pPr>
      <mc:AlternateContent>
        <mc:Choice Requires="wpsCustomData">
          <wpsCustomData:docfieldStart id="0" docfieldname="附件_1" hidden="0" print="1" readonly="0" index="1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>附件1－2</w:t>
      </w:r>
      <mc:AlternateContent>
        <mc:Choice Requires="wpsCustomData">
          <wpsCustomData:docfieldEnd id="0"/>
        </mc:Choice>
      </mc:AlternateContent>
    </w:p>
    <w:p w14:paraId="1470C39E">
      <w:pPr>
        <w:pStyle w:val="16"/>
        <w:widowControl/>
        <w:shd w:val="clear" w:fill="FFFFFF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mc:AlternateContent>
        <mc:Choice Requires="wpsCustomData">
          <wpsCustomData:docfieldStart id="1" docfieldname="FJ_1" hidden="0" print="1" readonly="0" index="2"/>
        </mc:Choice>
      </mc:AlternateContent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研究生教育学科专业目录（2022年）</w:t>
      </w:r>
      <mc:AlternateContent>
        <mc:Choice Requires="wpsCustomData">
          <wpsCustomData:docfieldEnd id="1"/>
        </mc:Choice>
      </mc:AlternateContent>
    </w:p>
    <w:p w14:paraId="2C62B89D">
      <w:pPr>
        <w:pStyle w:val="2"/>
        <w:widowControl/>
        <w:numPr>
          <w:numId w:val="0"/>
        </w:numPr>
        <w:shd w:val="clear" w:fill="FFFFFF"/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一、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语文学科专业目录</w:t>
      </w:r>
    </w:p>
    <w:p w14:paraId="6C6E7044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文艺学（050101）、语言学及应用语言学（050102）、汉语言文字学（050103）、中国古典文献学（050104）、中国古代文学（050105）、中国现当代文学（050106）、比较文学与世界文学（050108）。学科教学（语文）（045103）。</w:t>
      </w:r>
    </w:p>
    <w:p w14:paraId="296F9799">
      <w:pPr>
        <w:pStyle w:val="11"/>
        <w:widowControl/>
        <w:rPr>
          <w:rFonts w:ascii="Times New Roman" w:hAnsi="Times New Roman" w:eastAsia="仿宋_GB2312" w:cs="仿宋_GB2312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/>
          <w:i w:val="0"/>
          <w:color w:val="0F1115"/>
          <w:sz w:val="32"/>
          <w:szCs w:val="32"/>
        </w:rPr>
        <w:t>限报条件：</w:t>
      </w:r>
    </w:p>
    <w:p w14:paraId="43A1C2C7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课程与教学论（040102）须为语文方向，并提供学校出具的研究方向证明；教育（0451）须为学科教学（语文）方向。</w:t>
      </w:r>
    </w:p>
    <w:p w14:paraId="677E5D47">
      <w:pPr>
        <w:pStyle w:val="2"/>
        <w:numPr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二、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数学学科专业目录</w:t>
      </w:r>
    </w:p>
    <w:p w14:paraId="2F1778F2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基础数学（070101）、计算数学（070102）、概率论与数理统计（070103）、应用数学（070104）、运筹学与控制论（070105）。学科教学（数学）（045104）。</w:t>
      </w:r>
    </w:p>
    <w:p w14:paraId="7F95C6FB">
      <w:pPr>
        <w:pStyle w:val="11"/>
        <w:widowControl/>
        <w:rPr>
          <w:rFonts w:ascii="Times New Roman" w:hAnsi="Times New Roman" w:eastAsia="仿宋_GB2312" w:cs="仿宋_GB2312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/>
          <w:i w:val="0"/>
          <w:color w:val="0F1115"/>
          <w:sz w:val="32"/>
          <w:szCs w:val="32"/>
        </w:rPr>
        <w:t>限报条件：</w:t>
      </w:r>
    </w:p>
    <w:p w14:paraId="45D71A3E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课程与教学论（040102）须为数学方向，并提供学校出具的研究方向证明；教育（0451）须为学科教学（数学）方向。</w:t>
      </w:r>
    </w:p>
    <w:p w14:paraId="36D14831">
      <w:pPr>
        <w:pStyle w:val="2"/>
        <w:numPr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三、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英语学科专业目录</w:t>
      </w:r>
    </w:p>
    <w:p w14:paraId="099D96C8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英语语言文学（050201）；外国语言学及应用语言学（050211）（英语方向）。学科教学（英语）（045108）；英语笔译（055101）；英语口译（055102）。</w:t>
      </w:r>
    </w:p>
    <w:p w14:paraId="403AAF77">
      <w:pPr>
        <w:pStyle w:val="11"/>
        <w:widowControl/>
        <w:rPr>
          <w:rFonts w:ascii="Times New Roman" w:hAnsi="Times New Roman" w:eastAsia="仿宋_GB2312" w:cs="仿宋_GB2312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/>
          <w:i w:val="0"/>
          <w:color w:val="0F1115"/>
          <w:sz w:val="32"/>
          <w:szCs w:val="32"/>
        </w:rPr>
        <w:t>限报条件：</w:t>
      </w:r>
    </w:p>
    <w:p w14:paraId="3283558A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课程与教学论（040102）须为英语方向，并提供学校出具的研究方向证明；教育（0451）须为学科教学（英语）方向。</w:t>
      </w:r>
    </w:p>
    <w:p w14:paraId="5B40A733">
      <w:pPr>
        <w:pStyle w:val="2"/>
        <w:widowControl/>
        <w:numPr>
          <w:numId w:val="0"/>
        </w:numPr>
        <w:shd w:val="clear" w:fill="FFFFFF"/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四、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物理学科专业目录</w:t>
      </w:r>
    </w:p>
    <w:p w14:paraId="48BDD814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理论物理（070201）、粒子物理与原子核物理（070202）、原子与分子物理（070203）、等离子体物理（070204）、凝聚态物理（070205）、声学（070206）、光学（070207）、无线电物理（070208）。学科教学（物理）（045105）。天文学（0704）、地球物理学（0708）、力学（0801）、光学工程（0803）、电子科学与技术（0809）。</w:t>
      </w:r>
    </w:p>
    <w:p w14:paraId="34D01DEE">
      <w:pPr>
        <w:pStyle w:val="11"/>
        <w:widowControl/>
        <w:rPr>
          <w:rFonts w:ascii="Times New Roman" w:hAnsi="Times New Roman" w:eastAsia="仿宋_GB2312" w:cs="仿宋_GB2312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/>
          <w:i w:val="0"/>
          <w:color w:val="0F1115"/>
          <w:sz w:val="32"/>
          <w:szCs w:val="32"/>
        </w:rPr>
        <w:t>限报条件：</w:t>
      </w:r>
    </w:p>
    <w:p w14:paraId="48C85C9B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课程与教学论（040102）须为物理方向，并提供学校出具的研究方向证明；教育（0451）须为学科教学（物理）方向。</w:t>
      </w:r>
    </w:p>
    <w:p w14:paraId="185AD612">
      <w:pPr>
        <w:pStyle w:val="2"/>
        <w:widowControl/>
        <w:numPr>
          <w:numId w:val="0"/>
        </w:numPr>
        <w:shd w:val="clear" w:fill="FFFFFF"/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五、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化学学科专业目录</w:t>
      </w:r>
    </w:p>
    <w:p w14:paraId="214EC41C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无机化学（070301）、分析化学（070302）、有机化学（070303）、物理化学（070304）（含化学物理）、高分子化学与物理（070305）。学科教学（化学）（045106）。化学工程与技术（0817）、材料科学与工程（0805）、材料与化工（0856）。</w:t>
      </w:r>
    </w:p>
    <w:p w14:paraId="3193391E">
      <w:pPr>
        <w:pStyle w:val="11"/>
        <w:widowControl/>
        <w:rPr>
          <w:rFonts w:ascii="Times New Roman" w:hAnsi="Times New Roman" w:eastAsia="仿宋_GB2312" w:cs="仿宋_GB2312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/>
          <w:i w:val="0"/>
          <w:color w:val="0F1115"/>
          <w:sz w:val="32"/>
          <w:szCs w:val="32"/>
        </w:rPr>
        <w:t>限报条件：</w:t>
      </w:r>
    </w:p>
    <w:p w14:paraId="03C8B365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课程与教学论（040102）须为化学方向，并提供学校出具的研究方向证明；教育（0451）须为学科教学（化学）方向。</w:t>
      </w:r>
    </w:p>
    <w:p w14:paraId="27EF9CDD">
      <w:pPr>
        <w:pStyle w:val="2"/>
        <w:widowControl/>
        <w:numPr>
          <w:numId w:val="0"/>
        </w:numPr>
        <w:shd w:val="clear" w:fill="FFFFFF"/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六、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体育学科专业目录</w:t>
      </w:r>
    </w:p>
    <w:p w14:paraId="71FE096E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体育人文社会学（040301）、运动人体科学（040302）、体育教育训练学（040303）、民族传统体育学（040304）。学科教学（体育）（045112）；体育（0452）专业学位类别及其下设专业领域：体育教学（045201）、运动训练（045202）、竞赛组织（045203）、社会体育指导（045204）。</w:t>
      </w:r>
    </w:p>
    <w:p w14:paraId="60594873">
      <w:pPr>
        <w:pStyle w:val="11"/>
        <w:widowControl/>
        <w:rPr>
          <w:rFonts w:ascii="Times New Roman" w:hAnsi="Times New Roman" w:eastAsia="仿宋_GB2312" w:cs="仿宋_GB2312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/>
          <w:i w:val="0"/>
          <w:color w:val="0F1115"/>
          <w:sz w:val="32"/>
          <w:szCs w:val="32"/>
        </w:rPr>
        <w:t>限报条件：</w:t>
      </w:r>
    </w:p>
    <w:p w14:paraId="0A8595C6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课程与教学论（040102）须为体育方向，并提供学校出具的研究方向证明；教育（0451）须为学科教学（体育）方向（045112）。</w:t>
      </w:r>
    </w:p>
    <w:p w14:paraId="41BD62E5">
      <w:pPr>
        <w:pStyle w:val="15"/>
        <w:keepNext w:val="0"/>
        <w:keepLines w:val="0"/>
        <w:widowControl/>
        <w:numPr>
          <w:numId w:val="0"/>
        </w:numPr>
        <w:suppressLineNumbers w:val="0"/>
        <w:shd w:val="clear" w:fill="FFFFFF"/>
        <w:spacing w:before="240" w:beforeAutospacing="0" w:after="240" w:afterAutospacing="0"/>
        <w:ind w:leftChars="0" w:right="0" w:rightChars="0"/>
        <w:rPr>
          <w:rFonts w:hint="default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</w:p>
    <w:p w14:paraId="2E22FCD4">
      <w:pPr>
        <w:numPr>
          <w:numId w:val="0"/>
        </w:numPr>
        <w:ind w:leftChars="0"/>
        <w:rPr>
          <w:rFonts w:hint="default"/>
          <w:lang w:val="en-US" w:eastAsia="zh-CN"/>
        </w:rPr>
      </w:pPr>
      <w:bookmarkStart w:id="0" w:name="_GoBack"/>
      <w:bookmarkEnd w:id="0"/>
    </w:p>
    <w:p w14:paraId="58CDC815">
      <w:pPr>
        <w:pStyle w:val="11"/>
        <w:bidi w:val="0"/>
        <w:rPr>
          <w:rFonts w:hint="default"/>
          <w:lang w:val="en-US"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92606BF-FDC9-4683-8E72-B8BC1E4FA4A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2" w:fontKey="{1EE4E942-E039-499A-85DD-D00A3E64A694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91AA92B2-02E5-477E-BF6E-A369969E4BF4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663F8806-023F-49C7-9FB0-D427CAECB6A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38C8C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94135B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BVtgQK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B94135B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6B8A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65F1F5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A37onp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365F1F5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B79F1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AC736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35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uiPriority w:val="0"/>
    <w:rPr>
      <w:sz w:val="24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19">
    <w:name w:val="附录标题"/>
    <w:next w:val="1"/>
    <w:uiPriority w:val="0"/>
    <w:pPr>
      <w:overflowPunct w:val="0"/>
      <w:topLinePunct/>
      <w:spacing w:line="560" w:lineRule="exact"/>
      <w:jc w:val="left"/>
      <w:outlineLvl w:val="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2026-08-31T13:33:41Z</dcterms:created>
  <dc:creator>DELL</dc:creator>
  <cp:lastModifiedBy>飞Ya</cp:lastModifiedBy>
  <dcterms:modified xsi:type="dcterms:W3CDTF">2026-08-31T13:51:32Z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eyJoZGlkIjoiMGQyNmZmNjc1Zjk4ZDk5ZGM3M2U2ZmNmMjQxNThmMDUiLCJ1c2VySWQiOiI2MDE4NzE4MTEifQ==</vt:lpwstr>
  </property>
  <property fmtid="{D5CDD505-2E9C-101B-9397-08002B2CF9AE}" pid="4" name="ICV">
    <vt:lpwstr>83CDE73A1C1543619589AA373B9945F6_12</vt:lpwstr>
  </property>
</Properties>
</file>