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08F88">
      <w:pPr>
        <w:pStyle w:val="20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</w:pPr>
      <mc:AlternateContent>
        <mc:Choice Requires="wpsCustomData">
          <wpsCustomData:docfieldStart id="0" docfieldname="附件_1" hidden="0" print="1" readonly="0" index="2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  <w:t>附件1－1</w:t>
      </w:r>
      <mc:AlternateContent>
        <mc:Choice Requires="wpsCustomData">
          <wpsCustomData:docfieldEnd id="0"/>
        </mc:Choice>
      </mc:AlternateContent>
    </w:p>
    <w:p w14:paraId="1B865B5A">
      <w:pPr>
        <w:pStyle w:val="16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mc:AlternateContent>
        <mc:Choice Requires="wpsCustomData">
          <wpsCustomData:docfieldStart id="1" docfieldname="FJ_1" hidden="0" print="1" readonly="0" index="3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普通高等学校本科专业目录（2025年）</w:t>
      </w:r>
      <mc:AlternateContent>
        <mc:Choice Requires="wpsCustomData">
          <wpsCustomData:docfieldEnd id="1"/>
        </mc:Choice>
      </mc:AlternateContent>
    </w:p>
    <w:p w14:paraId="592C5FED">
      <w:pPr>
        <w:pStyle w:val="11"/>
        <w:pageBreakBefore w:val="0"/>
        <w:kinsoku/>
        <w:wordWrap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highlight w:val="none"/>
          <w:lang w:eastAsia="zh-CN"/>
        </w:rPr>
      </w:pPr>
    </w:p>
    <w:p w14:paraId="6EC2905B">
      <w:pPr>
        <w:pStyle w:val="2"/>
        <w:pageBreakBefore w:val="0"/>
        <w:widowControl/>
        <w:numPr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highlight w:val="none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highlight w:val="none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  <w:t>语文学科专业目录</w:t>
      </w:r>
    </w:p>
    <w:p w14:paraId="7ACEF9EC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  <w:t>汉语言文学（050101）、汉语言（050102）、古典文献学（050105）、应用语言学（050106T）、中国语言与文化（050108T）、中国古典学（050111T）、汉学与中国学（050112T）、应用中文（050113T）、华文教育（040109T）。</w:t>
      </w:r>
    </w:p>
    <w:p w14:paraId="61CC24A6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</w:pPr>
      <w:r>
        <w:rPr>
          <w:rStyle w:val="21"/>
          <w:highlight w:val="none"/>
        </w:rPr>
        <w:t>限报条件</w:t>
      </w:r>
      <w:r>
        <w:rPr>
          <w:rFonts w:ascii="Times New Roman" w:hAnsi="Times New Roman" w:eastAsia="仿宋_GB2312" w:cs="仿宋_GB2312"/>
          <w:b/>
          <w:i w:val="0"/>
          <w:color w:val="0F1115"/>
          <w:sz w:val="32"/>
          <w:szCs w:val="32"/>
          <w:highlight w:val="none"/>
        </w:rPr>
        <w:t>：</w:t>
      </w:r>
      <w:r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  <w:t>小学教育（040107）限报小学语文岗位，且须为文科或语文方向；教育学（040101）须提供语文学科研究方向证明。</w:t>
      </w:r>
    </w:p>
    <w:p w14:paraId="7728C43F">
      <w:pPr>
        <w:pStyle w:val="2"/>
        <w:pageBreakBefore w:val="0"/>
        <w:widowControl/>
        <w:numPr>
          <w:numId w:val="0"/>
        </w:numPr>
        <w:shd w:val="clear" w:fill="FFFFFF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highlight w:val="none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highlight w:val="none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  <w:t>数学学科专业目录</w:t>
      </w:r>
    </w:p>
    <w:p w14:paraId="0FCF261C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  <w:t>数学与应用数学（070101）、信息与计算科学（070102）、数理基础科学（070103T）、数据计算及应用（070104T）。</w:t>
      </w:r>
    </w:p>
    <w:p w14:paraId="585746C2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</w:pPr>
      <w:r>
        <w:rPr>
          <w:rStyle w:val="21"/>
          <w:highlight w:val="none"/>
        </w:rPr>
        <w:t>限报条件</w:t>
      </w:r>
      <w:r>
        <w:rPr>
          <w:rFonts w:ascii="Times New Roman" w:hAnsi="Times New Roman" w:eastAsia="仿宋_GB2312" w:cs="仿宋_GB2312"/>
          <w:b/>
          <w:i w:val="0"/>
          <w:color w:val="0F1115"/>
          <w:sz w:val="32"/>
          <w:szCs w:val="32"/>
          <w:highlight w:val="none"/>
        </w:rPr>
        <w:t>：</w:t>
      </w:r>
      <w:r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  <w:t>小学教育（040107）限报小学数学岗位，且须为数学或理科方向；教育学（040101）须提供数学教育或课程与教学论（数学）方向证明。</w:t>
      </w:r>
    </w:p>
    <w:p w14:paraId="7B5BD987">
      <w:pPr>
        <w:pStyle w:val="2"/>
        <w:pageBreakBefore w:val="0"/>
        <w:widowControl/>
        <w:numPr>
          <w:numId w:val="0"/>
        </w:numPr>
        <w:shd w:val="clear" w:fill="FFFFFF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highlight w:val="none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highlight w:val="none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  <w:t>英语学科专业目录</w:t>
      </w:r>
    </w:p>
    <w:p w14:paraId="4D9F7566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  <w:t>英语（050201，含师范方向）、翻译（050261）、商务英语（050262）、区域国别学（0502104TK）。</w:t>
      </w:r>
    </w:p>
    <w:p w14:paraId="7C3F85D9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</w:pPr>
      <w:r>
        <w:rPr>
          <w:rStyle w:val="21"/>
          <w:rFonts w:ascii="Times New Roman" w:hAnsi="Times New Roman"/>
          <w:highlight w:val="none"/>
        </w:rPr>
        <w:t>限报条件：</w:t>
      </w:r>
      <w:r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  <w:t>小学教育（040107）限报小学英语岗位，且须为英语方向；教育学（040101）须提供英语教育或课程与教学论（英语）方向证明。</w:t>
      </w:r>
    </w:p>
    <w:p w14:paraId="25157BEA">
      <w:pPr>
        <w:pStyle w:val="2"/>
        <w:pageBreakBefore w:val="0"/>
        <w:widowControl/>
        <w:numPr>
          <w:numId w:val="0"/>
        </w:numPr>
        <w:shd w:val="clear" w:fill="FFFFFF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highlight w:val="none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highlight w:val="none"/>
          <w:lang w:eastAsia="zh-CN"/>
        </w:rPr>
        <w:t>四、</w:t>
      </w:r>
      <w:r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  <w:t>物理学科专业目录</w:t>
      </w:r>
    </w:p>
    <w:p w14:paraId="237E6FB9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  <w:t>物理学（070201，含师范方向）、应用物理学（070202）、核物理（070203）、声学（070204T）、系统科学与工程（070205T）、量子信息科学（070206T）。理论与应用力学（080101）、工程力学（080102）、地球物理学（070801）、材料物理（080402）、天文学（070401）。</w:t>
      </w:r>
    </w:p>
    <w:p w14:paraId="6BED24A9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</w:pPr>
      <w:r>
        <w:rPr>
          <w:rStyle w:val="21"/>
          <w:rFonts w:ascii="Times New Roman" w:hAnsi="Times New Roman"/>
          <w:highlight w:val="none"/>
        </w:rPr>
        <w:t>限报条件：</w:t>
      </w:r>
      <w:r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  <w:t>教育学（040101）须提供物理教育或课程与教学论（物理）方向证明。</w:t>
      </w:r>
    </w:p>
    <w:p w14:paraId="05CF0723">
      <w:pPr>
        <w:pStyle w:val="2"/>
        <w:pageBreakBefore w:val="0"/>
        <w:widowControl/>
        <w:numPr>
          <w:numId w:val="0"/>
        </w:numPr>
        <w:shd w:val="clear" w:fill="FFFFFF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highlight w:val="none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highlight w:val="none"/>
          <w:lang w:eastAsia="zh-CN"/>
        </w:rPr>
        <w:t>五、</w:t>
      </w:r>
      <w:r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  <w:t>化学学科专业目录</w:t>
      </w:r>
    </w:p>
    <w:p w14:paraId="1C074E96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  <w:t>化学（070301，含师范方向）、应用化学（070302）、化学生物学（070303T）、分子科学与工程（070304T）、能源化学（070305T）、化学测量学与技术（070306T）、资源化学（070307T）。材料化学（080403）、材料科学与工程（080401）、高分子材料与工程（080407）、化学工程与工艺（081301）、地球化学（070902）、核化工与核燃料工程（082204）。</w:t>
      </w:r>
    </w:p>
    <w:p w14:paraId="55448ABE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</w:pPr>
      <w:r>
        <w:rPr>
          <w:rStyle w:val="21"/>
          <w:rFonts w:ascii="Times New Roman" w:hAnsi="Times New Roman"/>
          <w:highlight w:val="none"/>
        </w:rPr>
        <w:t>限报条件：</w:t>
      </w:r>
      <w:r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  <w:t>教育学（040101）须提供化学教育或课程与教学论（化学）方向证明。</w:t>
      </w:r>
    </w:p>
    <w:p w14:paraId="1CB3A6C3">
      <w:pPr>
        <w:pStyle w:val="2"/>
        <w:pageBreakBefore w:val="0"/>
        <w:widowControl/>
        <w:numPr>
          <w:numId w:val="0"/>
        </w:numPr>
        <w:shd w:val="clear" w:fill="FFFFFF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highlight w:val="none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highlight w:val="none"/>
          <w:lang w:eastAsia="zh-CN"/>
        </w:rPr>
        <w:t>六、</w:t>
      </w:r>
      <w:r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  <w:t>体育学科专业目录</w:t>
      </w:r>
    </w:p>
    <w:p w14:paraId="5A1F5CC5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  <w:t>体育教育（040201，含师范方向）、运动训练（040202K）、社会体育指导与管理（040203）、武术与民族传统体育（040204K）、运动人体科学（040205）、运动康复（040206T）、休闲体育（040207T）、体能训练（040208T）。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  <w:highlight w:val="none"/>
        </w:rPr>
        <w:t>智能体育工程（040211TK）、体育旅游（040212TK）、运动能力开发（040213T）、足球运动（040214TK）。</w:t>
      </w:r>
    </w:p>
    <w:p w14:paraId="2574D6CC">
      <w:pPr>
        <w:pStyle w:val="11"/>
        <w:pageBreakBefore w:val="0"/>
        <w:widowControl/>
        <w:kinsoku/>
        <w:wordWrap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</w:pPr>
      <w:r>
        <w:rPr>
          <w:rStyle w:val="21"/>
          <w:rFonts w:ascii="Times New Roman" w:hAnsi="Times New Roman"/>
          <w:highlight w:val="none"/>
        </w:rPr>
        <w:t>限报条件：</w:t>
      </w:r>
      <w:r>
        <w:rPr>
          <w:rFonts w:ascii="Times New Roman" w:hAnsi="Times New Roman" w:eastAsia="仿宋_GB2312" w:cs="仿宋_GB2312"/>
          <w:i w:val="0"/>
          <w:color w:val="0F1115"/>
          <w:sz w:val="32"/>
          <w:szCs w:val="32"/>
          <w:highlight w:val="none"/>
        </w:rPr>
        <w:t>小学教育（040107）限报小学体育岗位，且须为体育方向；教育学（040101）须提供体育教育或课程与教学论（体育）方向证明。</w:t>
      </w:r>
    </w:p>
    <w:p w14:paraId="22772D13">
      <w:pPr>
        <w:pStyle w:val="11"/>
        <w:pageBreakBefore w:val="0"/>
        <w:kinsoku/>
        <w:wordWrap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/>
          <w:highlight w:val="none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701" w:right="1474" w:bottom="1701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C88DF8-4BBA-482F-A8AB-4B9DBA35EA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90C5D0E9-3F5E-49C0-8A45-BC122B1C919C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2533E230-298F-4EE5-8716-593B3C2506A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E9281D8A-8B4B-4822-9288-99CE11405F5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81D96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60994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GpUrO1gAAAAYBAAAPAAAAAAAAAAEAIAAAACIAAABkcnMvZG93bnJl&#10;di54bWxQSwECFAAUAAAACACHTuJA1tvdAeMCAAAuBgAADgAAAAAAAAABACAAAAAlAQAAZHJzL2Uy&#10;b0RvYy54bWxQSwUGAAAAAAYABgBZAQAAegY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060994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53A46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C9786C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CyWOL1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9C9786C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37A70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AC362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47952"/>
    <w:rsid w:val="28F0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rPr>
      <w:sz w:val="24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19">
    <w:name w:val="标题 2 Char"/>
    <w:uiPriority w:val="0"/>
    <w:rPr>
      <w:rFonts w:ascii="Times New Roman" w:hAnsi="Times New Roman" w:eastAsia="楷体_GB2312" w:cs="楷体_GB2312"/>
      <w:sz w:val="32"/>
      <w:szCs w:val="32"/>
    </w:rPr>
  </w:style>
  <w:style w:type="paragraph" w:customStyle="1" w:styleId="20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</w:style>
  <w:style w:type="character" w:customStyle="1" w:styleId="21">
    <w:name w:val="标题 2 Char1"/>
    <w:link w:val="3"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862</Words>
  <Characters>1208</Characters>
  <Lines>0</Lines>
  <Paragraphs>0</Paragraphs>
  <TotalTime>4</TotalTime>
  <ScaleCrop>false</ScaleCrop>
  <LinksUpToDate>false</LinksUpToDate>
  <CharactersWithSpaces>1208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2026-08-31T12:07:00Z</dcterms:created>
  <dc:creator>DELL</dc:creator>
  <cp:lastModifiedBy>飞Ya</cp:lastModifiedBy>
  <dcterms:modified xsi:type="dcterms:W3CDTF">2026-08-31T13:29:22Z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eyJoZGlkIjoiMGQyNmZmNjc1Zjk4ZDk5ZGM3M2U2ZmNmMjQxNThmMDUiLCJ1c2VySWQiOiI2MDE4NzE4MTEifQ==</vt:lpwstr>
  </property>
  <property fmtid="{D5CDD505-2E9C-101B-9397-08002B2CF9AE}" pid="4" name="ICV">
    <vt:lpwstr>7566A57006F4416396835BD9B09B6B32_12</vt:lpwstr>
  </property>
</Properties>
</file>