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47D13">
      <w:pPr>
        <w:spacing w:line="600" w:lineRule="exact"/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color w:val="auto"/>
          <w:kern w:val="0"/>
          <w:sz w:val="32"/>
          <w:szCs w:val="32"/>
          <w:lang w:val="en-US" w:eastAsia="zh-CN"/>
        </w:rPr>
        <w:t>5</w:t>
      </w:r>
    </w:p>
    <w:p w14:paraId="61428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政府专职消防员体能测试</w:t>
      </w:r>
      <w:r>
        <w:rPr>
          <w:rStyle w:val="7"/>
          <w:rFonts w:hint="eastAsia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及岗位适应性测试</w:t>
      </w:r>
      <w:r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评分标准</w:t>
      </w:r>
    </w:p>
    <w:p w14:paraId="2DB7C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</w:p>
    <w:p w14:paraId="4DBB72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Style w:val="7"/>
          <w:rFonts w:hint="eastAsia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体能测试评分标准</w:t>
      </w:r>
      <w:bookmarkStart w:id="0" w:name="_GoBack"/>
      <w:bookmarkEnd w:id="0"/>
    </w:p>
    <w:p w14:paraId="4DEF4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both"/>
        <w:textAlignment w:val="auto"/>
        <w:rPr>
          <w:rFonts w:hint="default" w:ascii="Times New Roman" w:hAnsi="Times New Roman" w:eastAsia="方正黑体_GBK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一、</w:t>
      </w: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</w:rPr>
        <w:t>男子</w:t>
      </w: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1</w:t>
      </w: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</w:rPr>
        <w:t>000m评分标准</w:t>
      </w:r>
    </w:p>
    <w:p w14:paraId="338BED8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1.分组考核。</w:t>
      </w:r>
    </w:p>
    <w:p w14:paraId="512F61C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2.在跑道或平地上标出起点线，考生从起点线处听到起跑口令后起跑，完成1000米距离到达终点线，记录时间。</w:t>
      </w:r>
    </w:p>
    <w:p w14:paraId="7D7BBAD0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3.考核以完成时间计算成绩。</w:t>
      </w:r>
    </w:p>
    <w:p w14:paraId="5B37120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4.分值评值：按30%计入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体能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考核总分，得分超出100分的，每递减5秒增加10分，最高150分。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7"/>
        <w:gridCol w:w="777"/>
        <w:gridCol w:w="777"/>
        <w:gridCol w:w="777"/>
        <w:gridCol w:w="777"/>
        <w:gridCol w:w="778"/>
        <w:gridCol w:w="778"/>
        <w:gridCol w:w="778"/>
        <w:gridCol w:w="778"/>
        <w:gridCol w:w="778"/>
        <w:gridCol w:w="778"/>
      </w:tblGrid>
      <w:tr w14:paraId="11E72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77" w:type="dxa"/>
            <w:noWrap w:val="0"/>
            <w:vAlign w:val="top"/>
          </w:tcPr>
          <w:p w14:paraId="6C775C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得分</w:t>
            </w:r>
          </w:p>
        </w:tc>
        <w:tc>
          <w:tcPr>
            <w:tcW w:w="777" w:type="dxa"/>
            <w:noWrap w:val="0"/>
            <w:vAlign w:val="top"/>
          </w:tcPr>
          <w:p w14:paraId="31224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777" w:type="dxa"/>
            <w:noWrap w:val="0"/>
            <w:vAlign w:val="top"/>
          </w:tcPr>
          <w:p w14:paraId="27C931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777" w:type="dxa"/>
            <w:noWrap w:val="0"/>
            <w:vAlign w:val="top"/>
          </w:tcPr>
          <w:p w14:paraId="1EF17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777" w:type="dxa"/>
            <w:noWrap w:val="0"/>
            <w:vAlign w:val="top"/>
          </w:tcPr>
          <w:p w14:paraId="36439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778" w:type="dxa"/>
            <w:noWrap w:val="0"/>
            <w:vAlign w:val="top"/>
          </w:tcPr>
          <w:p w14:paraId="2E7DB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778" w:type="dxa"/>
            <w:noWrap w:val="0"/>
            <w:vAlign w:val="top"/>
          </w:tcPr>
          <w:p w14:paraId="347F10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778" w:type="dxa"/>
            <w:noWrap w:val="0"/>
            <w:vAlign w:val="top"/>
          </w:tcPr>
          <w:p w14:paraId="704A69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778" w:type="dxa"/>
            <w:noWrap w:val="0"/>
            <w:vAlign w:val="top"/>
          </w:tcPr>
          <w:p w14:paraId="7CDE6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778" w:type="dxa"/>
            <w:noWrap w:val="0"/>
            <w:vAlign w:val="top"/>
          </w:tcPr>
          <w:p w14:paraId="50183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778" w:type="dxa"/>
            <w:noWrap w:val="0"/>
            <w:vAlign w:val="top"/>
          </w:tcPr>
          <w:p w14:paraId="60608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0DC7D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77" w:type="dxa"/>
            <w:noWrap w:val="0"/>
            <w:vAlign w:val="top"/>
          </w:tcPr>
          <w:p w14:paraId="04B5E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777" w:type="dxa"/>
            <w:noWrap w:val="0"/>
            <w:vAlign w:val="center"/>
          </w:tcPr>
          <w:p w14:paraId="0CD1A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5＇30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7" w:type="dxa"/>
            <w:noWrap w:val="0"/>
            <w:vAlign w:val="center"/>
          </w:tcPr>
          <w:p w14:paraId="79E36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5＇25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7" w:type="dxa"/>
            <w:noWrap w:val="0"/>
            <w:vAlign w:val="center"/>
          </w:tcPr>
          <w:p w14:paraId="739FD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5＇20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7" w:type="dxa"/>
            <w:noWrap w:val="0"/>
            <w:vAlign w:val="center"/>
          </w:tcPr>
          <w:p w14:paraId="793356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5＇15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661C1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5＇10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1B9E9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5＇05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286F61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5＇00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3F819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4＇55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17728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4＇50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  <w:tc>
          <w:tcPr>
            <w:tcW w:w="778" w:type="dxa"/>
            <w:noWrap w:val="0"/>
            <w:vAlign w:val="center"/>
          </w:tcPr>
          <w:p w14:paraId="6F0CB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  <w:lang w:val="en-US" w:eastAsia="zh-CN"/>
              </w:rPr>
              <w:t>4＇45</w:t>
            </w:r>
            <w:r>
              <w:rPr>
                <w:rFonts w:hint="default" w:ascii="Times New Roman" w:hAnsi="Times New Roman" w:eastAsia="仿宋" w:cs="Times New Roman"/>
                <w:kern w:val="0"/>
                <w:sz w:val="18"/>
                <w:szCs w:val="18"/>
                <w:highlight w:val="none"/>
              </w:rPr>
              <w:t>″</w:t>
            </w:r>
          </w:p>
        </w:tc>
      </w:tr>
    </w:tbl>
    <w:p w14:paraId="57FF3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二、男子100m评分标准</w:t>
      </w:r>
    </w:p>
    <w:p w14:paraId="640C4D72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1.分组考核。</w:t>
      </w:r>
    </w:p>
    <w:p w14:paraId="589ACD6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2.在100米长直线跑道上标出起点线和终点线，考生从起点线处听到起跑口令后起跑，通过终点线记录时间。</w:t>
      </w:r>
    </w:p>
    <w:p w14:paraId="6E5EA56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3.抢跑犯规，重新组织起跑；跑出本道或用其他方式干扰、阻碍他人者不记录成绩。</w:t>
      </w:r>
    </w:p>
    <w:p w14:paraId="6831E0EC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4.分值评值：按20%计入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体能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考核总分，得分超出100分的，每递减0.3秒增加10分，最高150分。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2E84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noWrap w:val="0"/>
            <w:vAlign w:val="top"/>
          </w:tcPr>
          <w:p w14:paraId="0A2FC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得分</w:t>
            </w:r>
          </w:p>
        </w:tc>
        <w:tc>
          <w:tcPr>
            <w:tcW w:w="774" w:type="dxa"/>
            <w:noWrap w:val="0"/>
            <w:vAlign w:val="top"/>
          </w:tcPr>
          <w:p w14:paraId="4C21B4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774" w:type="dxa"/>
            <w:noWrap w:val="0"/>
            <w:vAlign w:val="top"/>
          </w:tcPr>
          <w:p w14:paraId="514E4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775" w:type="dxa"/>
            <w:noWrap w:val="0"/>
            <w:vAlign w:val="top"/>
          </w:tcPr>
          <w:p w14:paraId="743A6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775" w:type="dxa"/>
            <w:noWrap w:val="0"/>
            <w:vAlign w:val="top"/>
          </w:tcPr>
          <w:p w14:paraId="7EBA3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775" w:type="dxa"/>
            <w:noWrap w:val="0"/>
            <w:vAlign w:val="top"/>
          </w:tcPr>
          <w:p w14:paraId="3DD3F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775" w:type="dxa"/>
            <w:noWrap w:val="0"/>
            <w:vAlign w:val="top"/>
          </w:tcPr>
          <w:p w14:paraId="277FB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775" w:type="dxa"/>
            <w:noWrap w:val="0"/>
            <w:vAlign w:val="top"/>
          </w:tcPr>
          <w:p w14:paraId="6F593E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775" w:type="dxa"/>
            <w:noWrap w:val="0"/>
            <w:vAlign w:val="top"/>
          </w:tcPr>
          <w:p w14:paraId="69A78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775" w:type="dxa"/>
            <w:noWrap w:val="0"/>
            <w:vAlign w:val="top"/>
          </w:tcPr>
          <w:p w14:paraId="37FC28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775" w:type="dxa"/>
            <w:noWrap w:val="0"/>
            <w:vAlign w:val="top"/>
          </w:tcPr>
          <w:p w14:paraId="149BF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2CEC6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noWrap w:val="0"/>
            <w:vAlign w:val="top"/>
          </w:tcPr>
          <w:p w14:paraId="786CC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774" w:type="dxa"/>
            <w:noWrap w:val="0"/>
            <w:vAlign w:val="top"/>
          </w:tcPr>
          <w:p w14:paraId="511BA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74" w:type="dxa"/>
            <w:noWrap w:val="0"/>
            <w:vAlign w:val="top"/>
          </w:tcPr>
          <w:p w14:paraId="42A27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75" w:type="dxa"/>
            <w:noWrap w:val="0"/>
            <w:vAlign w:val="top"/>
          </w:tcPr>
          <w:p w14:paraId="7905D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16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75" w:type="dxa"/>
            <w:noWrap w:val="0"/>
            <w:vAlign w:val="top"/>
          </w:tcPr>
          <w:p w14:paraId="72209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8</w:t>
            </w:r>
          </w:p>
        </w:tc>
        <w:tc>
          <w:tcPr>
            <w:tcW w:w="775" w:type="dxa"/>
            <w:noWrap w:val="0"/>
            <w:vAlign w:val="top"/>
          </w:tcPr>
          <w:p w14:paraId="7DF9E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75" w:type="dxa"/>
            <w:noWrap w:val="0"/>
            <w:vAlign w:val="top"/>
          </w:tcPr>
          <w:p w14:paraId="3EE9B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75" w:type="dxa"/>
            <w:noWrap w:val="0"/>
            <w:vAlign w:val="top"/>
          </w:tcPr>
          <w:p w14:paraId="56AF5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9</w:t>
            </w:r>
          </w:p>
        </w:tc>
        <w:tc>
          <w:tcPr>
            <w:tcW w:w="775" w:type="dxa"/>
            <w:noWrap w:val="0"/>
            <w:vAlign w:val="top"/>
          </w:tcPr>
          <w:p w14:paraId="05E11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775" w:type="dxa"/>
            <w:noWrap w:val="0"/>
            <w:vAlign w:val="top"/>
          </w:tcPr>
          <w:p w14:paraId="2C367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75" w:type="dxa"/>
            <w:noWrap w:val="0"/>
            <w:vAlign w:val="top"/>
          </w:tcPr>
          <w:p w14:paraId="1185D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仿宋" w:cs="Times New Roman"/>
                <w:kern w:val="0"/>
                <w:sz w:val="21"/>
                <w:szCs w:val="21"/>
                <w:highlight w:val="none"/>
              </w:rPr>
              <w:t>″</w:t>
            </w:r>
            <w:r>
              <w:rPr>
                <w:rFonts w:hint="default" w:ascii="Times New Roman" w:hAnsi="Times New Roman" w:eastAsia="仿宋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</w:p>
        </w:tc>
      </w:tr>
    </w:tbl>
    <w:p w14:paraId="43228C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三、单杠引体向上（完成时间3分钟）评分标准</w:t>
      </w:r>
    </w:p>
    <w:p w14:paraId="3DEDA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1.单个或分组考核。</w:t>
      </w:r>
    </w:p>
    <w:p w14:paraId="21294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2.按照规定动作要领完成动作。引体时下颌高于杠面、身体不得借助振浪或摆动、悬垂时双肘关节伸直；脚触及地面或立柱，考核结束。</w:t>
      </w:r>
    </w:p>
    <w:p w14:paraId="420F0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3.考核以完成次数计算成绩。</w:t>
      </w:r>
    </w:p>
    <w:p w14:paraId="570EF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  <w:lang w:val="en-US" w:eastAsia="zh-CN"/>
        </w:rPr>
        <w:t>4.分值评值：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按30%计入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体能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考核总分，得分超过100分的，每递增1个加10分，最高150分。</w:t>
      </w:r>
    </w:p>
    <w:tbl>
      <w:tblPr>
        <w:tblStyle w:val="5"/>
        <w:tblpPr w:leftFromText="180" w:rightFromText="180" w:vertAnchor="text" w:horzAnchor="page" w:tblpXSpec="center" w:tblpY="5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95"/>
        <w:gridCol w:w="795"/>
        <w:gridCol w:w="765"/>
        <w:gridCol w:w="750"/>
        <w:gridCol w:w="894"/>
        <w:gridCol w:w="780"/>
        <w:gridCol w:w="780"/>
        <w:gridCol w:w="780"/>
        <w:gridCol w:w="790"/>
        <w:gridCol w:w="755"/>
      </w:tblGrid>
      <w:tr w14:paraId="3C53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99" w:type="dxa"/>
            <w:noWrap w:val="0"/>
            <w:vAlign w:val="center"/>
          </w:tcPr>
          <w:p w14:paraId="416A9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得分</w:t>
            </w:r>
          </w:p>
        </w:tc>
        <w:tc>
          <w:tcPr>
            <w:tcW w:w="795" w:type="dxa"/>
            <w:noWrap w:val="0"/>
            <w:vAlign w:val="center"/>
          </w:tcPr>
          <w:p w14:paraId="542D1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795" w:type="dxa"/>
            <w:noWrap w:val="0"/>
            <w:vAlign w:val="center"/>
          </w:tcPr>
          <w:p w14:paraId="00B63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765" w:type="dxa"/>
            <w:noWrap w:val="0"/>
            <w:vAlign w:val="center"/>
          </w:tcPr>
          <w:p w14:paraId="47F8EB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750" w:type="dxa"/>
            <w:noWrap w:val="0"/>
            <w:vAlign w:val="center"/>
          </w:tcPr>
          <w:p w14:paraId="0AEE8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40</w:t>
            </w:r>
          </w:p>
        </w:tc>
        <w:tc>
          <w:tcPr>
            <w:tcW w:w="894" w:type="dxa"/>
            <w:noWrap w:val="0"/>
            <w:vAlign w:val="center"/>
          </w:tcPr>
          <w:p w14:paraId="790EA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50</w:t>
            </w:r>
          </w:p>
        </w:tc>
        <w:tc>
          <w:tcPr>
            <w:tcW w:w="780" w:type="dxa"/>
            <w:noWrap w:val="0"/>
            <w:vAlign w:val="center"/>
          </w:tcPr>
          <w:p w14:paraId="53616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780" w:type="dxa"/>
            <w:noWrap w:val="0"/>
            <w:vAlign w:val="center"/>
          </w:tcPr>
          <w:p w14:paraId="2DA35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70</w:t>
            </w:r>
          </w:p>
        </w:tc>
        <w:tc>
          <w:tcPr>
            <w:tcW w:w="780" w:type="dxa"/>
            <w:noWrap w:val="0"/>
            <w:vAlign w:val="center"/>
          </w:tcPr>
          <w:p w14:paraId="7146D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80</w:t>
            </w:r>
          </w:p>
        </w:tc>
        <w:tc>
          <w:tcPr>
            <w:tcW w:w="790" w:type="dxa"/>
            <w:noWrap w:val="0"/>
            <w:vAlign w:val="center"/>
          </w:tcPr>
          <w:p w14:paraId="54E82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755" w:type="dxa"/>
            <w:noWrap w:val="0"/>
            <w:vAlign w:val="center"/>
          </w:tcPr>
          <w:p w14:paraId="4F0BD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100</w:t>
            </w:r>
          </w:p>
        </w:tc>
      </w:tr>
      <w:tr w14:paraId="7C3CB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699" w:type="dxa"/>
            <w:noWrap w:val="0"/>
            <w:vAlign w:val="center"/>
          </w:tcPr>
          <w:p w14:paraId="5970C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成绩</w:t>
            </w:r>
          </w:p>
        </w:tc>
        <w:tc>
          <w:tcPr>
            <w:tcW w:w="795" w:type="dxa"/>
            <w:noWrap w:val="0"/>
            <w:vAlign w:val="center"/>
          </w:tcPr>
          <w:p w14:paraId="14B64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795" w:type="dxa"/>
            <w:noWrap w:val="0"/>
            <w:vAlign w:val="center"/>
          </w:tcPr>
          <w:p w14:paraId="39648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765" w:type="dxa"/>
            <w:noWrap w:val="0"/>
            <w:vAlign w:val="center"/>
          </w:tcPr>
          <w:p w14:paraId="2E9A7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750" w:type="dxa"/>
            <w:noWrap w:val="0"/>
            <w:vAlign w:val="center"/>
          </w:tcPr>
          <w:p w14:paraId="6D1FA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94" w:type="dxa"/>
            <w:noWrap w:val="0"/>
            <w:vAlign w:val="center"/>
          </w:tcPr>
          <w:p w14:paraId="0ADDA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780" w:type="dxa"/>
            <w:noWrap w:val="0"/>
            <w:vAlign w:val="center"/>
          </w:tcPr>
          <w:p w14:paraId="1AD188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780" w:type="dxa"/>
            <w:noWrap w:val="0"/>
            <w:vAlign w:val="center"/>
          </w:tcPr>
          <w:p w14:paraId="0C85E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780" w:type="dxa"/>
            <w:noWrap w:val="0"/>
            <w:vAlign w:val="center"/>
          </w:tcPr>
          <w:p w14:paraId="6CED0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790" w:type="dxa"/>
            <w:noWrap w:val="0"/>
            <w:vAlign w:val="center"/>
          </w:tcPr>
          <w:p w14:paraId="16E57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755" w:type="dxa"/>
            <w:noWrap w:val="0"/>
            <w:vAlign w:val="center"/>
          </w:tcPr>
          <w:p w14:paraId="13C5D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8</w:t>
            </w:r>
          </w:p>
        </w:tc>
      </w:tr>
    </w:tbl>
    <w:p w14:paraId="154D16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四、立定跳远评分标准</w:t>
      </w:r>
    </w:p>
    <w:p w14:paraId="2FA6F3D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1.单个分组考核。</w:t>
      </w:r>
    </w:p>
    <w:p w14:paraId="69A7665F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2.在跑道或平地上标出起点线，考生站立在起跳线后，脚尖不得踩线，脚尖不得离开地面，双脚原地同时起跳，不得有助跑、垫步或连跳动作，测量起跳线后沿至身体任何着地最近点后沿的垂直距离。两次测试，记录成绩较好的1次。</w:t>
      </w:r>
    </w:p>
    <w:p w14:paraId="7A505AE3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3.考核以完成跳出长度计算成绩。</w:t>
      </w:r>
    </w:p>
    <w:p w14:paraId="558651A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4.分值评值：按20%计入</w:t>
      </w: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体能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考核总分，得分超出100分的，每递增0.04米增加10分，最高150分。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2AD00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noWrap w:val="0"/>
            <w:vAlign w:val="top"/>
          </w:tcPr>
          <w:p w14:paraId="213F5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得分</w:t>
            </w:r>
          </w:p>
        </w:tc>
        <w:tc>
          <w:tcPr>
            <w:tcW w:w="774" w:type="dxa"/>
            <w:noWrap w:val="0"/>
            <w:vAlign w:val="top"/>
          </w:tcPr>
          <w:p w14:paraId="24227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774" w:type="dxa"/>
            <w:noWrap w:val="0"/>
            <w:vAlign w:val="top"/>
          </w:tcPr>
          <w:p w14:paraId="33953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775" w:type="dxa"/>
            <w:noWrap w:val="0"/>
            <w:vAlign w:val="top"/>
          </w:tcPr>
          <w:p w14:paraId="5C947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775" w:type="dxa"/>
            <w:noWrap w:val="0"/>
            <w:vAlign w:val="top"/>
          </w:tcPr>
          <w:p w14:paraId="02E2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775" w:type="dxa"/>
            <w:noWrap w:val="0"/>
            <w:vAlign w:val="top"/>
          </w:tcPr>
          <w:p w14:paraId="231AA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775" w:type="dxa"/>
            <w:noWrap w:val="0"/>
            <w:vAlign w:val="top"/>
          </w:tcPr>
          <w:p w14:paraId="663C6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775" w:type="dxa"/>
            <w:noWrap w:val="0"/>
            <w:vAlign w:val="top"/>
          </w:tcPr>
          <w:p w14:paraId="0EF04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775" w:type="dxa"/>
            <w:noWrap w:val="0"/>
            <w:vAlign w:val="top"/>
          </w:tcPr>
          <w:p w14:paraId="1890B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775" w:type="dxa"/>
            <w:noWrap w:val="0"/>
            <w:vAlign w:val="top"/>
          </w:tcPr>
          <w:p w14:paraId="23E31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775" w:type="dxa"/>
            <w:noWrap w:val="0"/>
            <w:vAlign w:val="top"/>
          </w:tcPr>
          <w:p w14:paraId="3974D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4E49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noWrap w:val="0"/>
            <w:vAlign w:val="top"/>
          </w:tcPr>
          <w:p w14:paraId="7C069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774" w:type="dxa"/>
            <w:noWrap w:val="0"/>
            <w:vAlign w:val="top"/>
          </w:tcPr>
          <w:p w14:paraId="3A63A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2.01</w:t>
            </w:r>
          </w:p>
        </w:tc>
        <w:tc>
          <w:tcPr>
            <w:tcW w:w="774" w:type="dxa"/>
            <w:noWrap w:val="0"/>
            <w:vAlign w:val="top"/>
          </w:tcPr>
          <w:p w14:paraId="30327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2.13</w:t>
            </w:r>
          </w:p>
        </w:tc>
        <w:tc>
          <w:tcPr>
            <w:tcW w:w="775" w:type="dxa"/>
            <w:noWrap w:val="0"/>
            <w:vAlign w:val="top"/>
          </w:tcPr>
          <w:p w14:paraId="6FDE1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2.17</w:t>
            </w:r>
          </w:p>
        </w:tc>
        <w:tc>
          <w:tcPr>
            <w:tcW w:w="775" w:type="dxa"/>
            <w:noWrap w:val="0"/>
            <w:vAlign w:val="top"/>
          </w:tcPr>
          <w:p w14:paraId="4DCCE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2.21</w:t>
            </w:r>
          </w:p>
        </w:tc>
        <w:tc>
          <w:tcPr>
            <w:tcW w:w="775" w:type="dxa"/>
            <w:noWrap w:val="0"/>
            <w:vAlign w:val="top"/>
          </w:tcPr>
          <w:p w14:paraId="6EE95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  <w:szCs w:val="24"/>
                <w:highlight w:val="none"/>
                <w:lang w:val="en-US" w:eastAsia="zh-CN"/>
              </w:rPr>
              <w:t>2.25</w:t>
            </w:r>
          </w:p>
        </w:tc>
        <w:tc>
          <w:tcPr>
            <w:tcW w:w="775" w:type="dxa"/>
            <w:noWrap w:val="0"/>
            <w:vAlign w:val="top"/>
          </w:tcPr>
          <w:p w14:paraId="29461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2.29</w:t>
            </w:r>
          </w:p>
        </w:tc>
        <w:tc>
          <w:tcPr>
            <w:tcW w:w="775" w:type="dxa"/>
            <w:noWrap w:val="0"/>
            <w:vAlign w:val="top"/>
          </w:tcPr>
          <w:p w14:paraId="62643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2.33</w:t>
            </w:r>
          </w:p>
        </w:tc>
        <w:tc>
          <w:tcPr>
            <w:tcW w:w="775" w:type="dxa"/>
            <w:noWrap w:val="0"/>
            <w:vAlign w:val="top"/>
          </w:tcPr>
          <w:p w14:paraId="5E086C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2.37</w:t>
            </w:r>
          </w:p>
        </w:tc>
        <w:tc>
          <w:tcPr>
            <w:tcW w:w="775" w:type="dxa"/>
            <w:noWrap w:val="0"/>
            <w:vAlign w:val="top"/>
          </w:tcPr>
          <w:p w14:paraId="4AE278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2.41</w:t>
            </w:r>
          </w:p>
        </w:tc>
        <w:tc>
          <w:tcPr>
            <w:tcW w:w="775" w:type="dxa"/>
            <w:noWrap w:val="0"/>
            <w:vAlign w:val="top"/>
          </w:tcPr>
          <w:p w14:paraId="06B64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2.45</w:t>
            </w:r>
          </w:p>
        </w:tc>
      </w:tr>
    </w:tbl>
    <w:p w14:paraId="0EA0B1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Times New Roman" w:hAnsi="Times New Roman" w:cs="Times New Roman"/>
          <w:highlight w:val="none"/>
          <w:lang w:val="en-US" w:eastAsia="zh-CN"/>
        </w:rPr>
        <w:br w:type="page"/>
      </w:r>
      <w:r>
        <w:rPr>
          <w:rStyle w:val="7"/>
          <w:rFonts w:hint="eastAsia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岗位适应性</w:t>
      </w:r>
      <w:r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  <w:t>测试评分标准</w:t>
      </w:r>
    </w:p>
    <w:p w14:paraId="7CFD7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Style w:val="7"/>
          <w:rFonts w:hint="default" w:ascii="Times New Roman" w:hAnsi="Times New Roman" w:eastAsia="方正小标宋简体" w:cs="Times New Roman"/>
          <w:b w:val="0"/>
          <w:bCs/>
          <w:kern w:val="0"/>
          <w:sz w:val="32"/>
          <w:szCs w:val="32"/>
          <w:highlight w:val="none"/>
          <w:lang w:val="en-US" w:eastAsia="zh-CN" w:bidi="ar"/>
        </w:rPr>
      </w:pPr>
    </w:p>
    <w:p w14:paraId="2335A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default" w:ascii="Times New Roman" w:hAnsi="Times New Roman" w:eastAsia="方正黑体_GBK" w:cs="Times New Roman"/>
          <w:sz w:val="28"/>
          <w:szCs w:val="28"/>
          <w:highlight w:val="none"/>
        </w:rPr>
      </w:pPr>
      <w:r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eastAsia="zh-CN"/>
        </w:rPr>
        <w:t>一、负重登六楼</w:t>
      </w:r>
      <w:r>
        <w:rPr>
          <w:rFonts w:hint="default" w:ascii="Times New Roman" w:hAnsi="Times New Roman" w:eastAsia="方正黑体_GBK" w:cs="Times New Roman"/>
          <w:sz w:val="28"/>
          <w:szCs w:val="28"/>
          <w:highlight w:val="none"/>
        </w:rPr>
        <w:t>评分标准</w:t>
      </w:r>
    </w:p>
    <w:p w14:paraId="2AF06B8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单个或分组考核。</w:t>
      </w:r>
    </w:p>
    <w:p w14:paraId="28CA36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2.考生佩戴消防头盔及消防安全腰带，手提两盘65毫米口径水带，听到口令后，从起点线处起跑，身体及全部器材通过终点记录时间。</w:t>
      </w:r>
    </w:p>
    <w:p w14:paraId="017EEF8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3.在一楼楼梯口设置起点线，负重六楼的楼层垂直高度不得低于18米，六层不够18米的，继续向上延伸设置终点线，直至垂直高度达到18米。4.65毫米口径水带单盘重量不少于6KG，水带每盘水带长度20±5米，开始前双卷立放，不得提前接口和任何形式进行捆扎、附着。</w:t>
      </w:r>
    </w:p>
    <w:p w14:paraId="02D9C87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5.考核以完成时间计算成绩，未达到1′50″的不计分。</w:t>
      </w:r>
    </w:p>
    <w:p w14:paraId="4C4C57D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6.分值评值：按50%计入岗位适应性测试总分，最高100分。</w:t>
      </w:r>
    </w:p>
    <w:tbl>
      <w:tblPr>
        <w:tblStyle w:val="5"/>
        <w:tblpPr w:leftFromText="180" w:rightFromText="180" w:vertAnchor="text" w:horzAnchor="page" w:tblpXSpec="center" w:tblpY="5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95"/>
        <w:gridCol w:w="795"/>
        <w:gridCol w:w="765"/>
        <w:gridCol w:w="750"/>
        <w:gridCol w:w="894"/>
        <w:gridCol w:w="780"/>
        <w:gridCol w:w="780"/>
        <w:gridCol w:w="780"/>
        <w:gridCol w:w="790"/>
        <w:gridCol w:w="755"/>
      </w:tblGrid>
      <w:tr w14:paraId="0206B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99" w:type="dxa"/>
            <w:noWrap w:val="0"/>
            <w:vAlign w:val="top"/>
          </w:tcPr>
          <w:p w14:paraId="05998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得分</w:t>
            </w:r>
          </w:p>
        </w:tc>
        <w:tc>
          <w:tcPr>
            <w:tcW w:w="795" w:type="dxa"/>
            <w:noWrap w:val="0"/>
            <w:vAlign w:val="top"/>
          </w:tcPr>
          <w:p w14:paraId="1B89E4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795" w:type="dxa"/>
            <w:noWrap w:val="0"/>
            <w:vAlign w:val="top"/>
          </w:tcPr>
          <w:p w14:paraId="3249F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765" w:type="dxa"/>
            <w:noWrap w:val="0"/>
            <w:vAlign w:val="top"/>
          </w:tcPr>
          <w:p w14:paraId="5A6BB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750" w:type="dxa"/>
            <w:noWrap w:val="0"/>
            <w:vAlign w:val="top"/>
          </w:tcPr>
          <w:p w14:paraId="162ED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894" w:type="dxa"/>
            <w:noWrap w:val="0"/>
            <w:vAlign w:val="top"/>
          </w:tcPr>
          <w:p w14:paraId="654D2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780" w:type="dxa"/>
            <w:noWrap w:val="0"/>
            <w:vAlign w:val="top"/>
          </w:tcPr>
          <w:p w14:paraId="6449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780" w:type="dxa"/>
            <w:noWrap w:val="0"/>
            <w:vAlign w:val="top"/>
          </w:tcPr>
          <w:p w14:paraId="50509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780" w:type="dxa"/>
            <w:noWrap w:val="0"/>
            <w:vAlign w:val="top"/>
          </w:tcPr>
          <w:p w14:paraId="615BE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790" w:type="dxa"/>
            <w:noWrap w:val="0"/>
            <w:vAlign w:val="top"/>
          </w:tcPr>
          <w:p w14:paraId="4BC9D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755" w:type="dxa"/>
            <w:noWrap w:val="0"/>
            <w:vAlign w:val="top"/>
          </w:tcPr>
          <w:p w14:paraId="3D4CB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0B061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699" w:type="dxa"/>
            <w:noWrap w:val="0"/>
            <w:vAlign w:val="top"/>
          </w:tcPr>
          <w:p w14:paraId="67A5C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795" w:type="dxa"/>
            <w:noWrap w:val="0"/>
            <w:vAlign w:val="top"/>
          </w:tcPr>
          <w:p w14:paraId="486F7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1′50″</w:t>
            </w:r>
          </w:p>
        </w:tc>
        <w:tc>
          <w:tcPr>
            <w:tcW w:w="795" w:type="dxa"/>
            <w:noWrap w:val="0"/>
            <w:vAlign w:val="top"/>
          </w:tcPr>
          <w:p w14:paraId="243E5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1′48″</w:t>
            </w:r>
          </w:p>
        </w:tc>
        <w:tc>
          <w:tcPr>
            <w:tcW w:w="765" w:type="dxa"/>
            <w:noWrap w:val="0"/>
            <w:vAlign w:val="top"/>
          </w:tcPr>
          <w:p w14:paraId="72130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1′44″</w:t>
            </w:r>
          </w:p>
        </w:tc>
        <w:tc>
          <w:tcPr>
            <w:tcW w:w="750" w:type="dxa"/>
            <w:noWrap w:val="0"/>
            <w:vAlign w:val="top"/>
          </w:tcPr>
          <w:p w14:paraId="10782B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1′40″</w:t>
            </w:r>
          </w:p>
        </w:tc>
        <w:tc>
          <w:tcPr>
            <w:tcW w:w="894" w:type="dxa"/>
            <w:noWrap w:val="0"/>
            <w:vAlign w:val="top"/>
          </w:tcPr>
          <w:p w14:paraId="680E3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1′36″</w:t>
            </w:r>
          </w:p>
        </w:tc>
        <w:tc>
          <w:tcPr>
            <w:tcW w:w="780" w:type="dxa"/>
            <w:noWrap w:val="0"/>
            <w:vAlign w:val="top"/>
          </w:tcPr>
          <w:p w14:paraId="19346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1′34″</w:t>
            </w:r>
          </w:p>
        </w:tc>
        <w:tc>
          <w:tcPr>
            <w:tcW w:w="780" w:type="dxa"/>
            <w:noWrap w:val="0"/>
            <w:vAlign w:val="top"/>
          </w:tcPr>
          <w:p w14:paraId="5EA82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1′30″</w:t>
            </w:r>
          </w:p>
        </w:tc>
        <w:tc>
          <w:tcPr>
            <w:tcW w:w="780" w:type="dxa"/>
            <w:noWrap w:val="0"/>
            <w:vAlign w:val="top"/>
          </w:tcPr>
          <w:p w14:paraId="0A2CC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1′27″</w:t>
            </w:r>
          </w:p>
        </w:tc>
        <w:tc>
          <w:tcPr>
            <w:tcW w:w="790" w:type="dxa"/>
            <w:noWrap w:val="0"/>
            <w:vAlign w:val="top"/>
          </w:tcPr>
          <w:p w14:paraId="18D65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1′21″</w:t>
            </w:r>
          </w:p>
        </w:tc>
        <w:tc>
          <w:tcPr>
            <w:tcW w:w="755" w:type="dxa"/>
            <w:noWrap w:val="0"/>
            <w:vAlign w:val="top"/>
          </w:tcPr>
          <w:p w14:paraId="094C3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1′15″</w:t>
            </w:r>
          </w:p>
        </w:tc>
      </w:tr>
    </w:tbl>
    <w:p w14:paraId="703BF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  <w:t>二、原地攀登六米拉梯评分标准</w:t>
      </w:r>
    </w:p>
    <w:p w14:paraId="734EDBC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1.单个或分组考核。</w:t>
      </w:r>
    </w:p>
    <w:p w14:paraId="0461EFC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2.考生穿着全套消防员防护装具，扣好安全绳，听到口令后，从原地逐级攀登架设在训练塔窗口的六米拉梯，并进入二楼平台，以双脚落地时记录时间。</w:t>
      </w:r>
    </w:p>
    <w:p w14:paraId="4EBCED2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3.全套消防员防护装具包括防护服上衣、下裤、头盔、胶靴、安全腰带、防护手套，可提前佩戴好，不得卷裤挽袖，不得利用其他形式卷缠和固定。4.考核以完成时间计算成绩，未达到25″的不计分。</w:t>
      </w:r>
    </w:p>
    <w:p w14:paraId="7C6D7B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28"/>
          <w:szCs w:val="28"/>
          <w:highlight w:val="none"/>
          <w:lang w:val="en-US" w:eastAsia="zh-CN" w:bidi="ar-SA"/>
        </w:rPr>
        <w:t>5.分值评值：按50%计入岗位适应性测试总分，最高100分。</w:t>
      </w:r>
    </w:p>
    <w:tbl>
      <w:tblPr>
        <w:tblStyle w:val="5"/>
        <w:tblpPr w:leftFromText="180" w:rightFromText="180" w:vertAnchor="text" w:horzAnchor="page" w:tblpXSpec="center" w:tblpY="5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795"/>
        <w:gridCol w:w="795"/>
        <w:gridCol w:w="765"/>
        <w:gridCol w:w="750"/>
        <w:gridCol w:w="894"/>
        <w:gridCol w:w="780"/>
        <w:gridCol w:w="780"/>
        <w:gridCol w:w="780"/>
        <w:gridCol w:w="790"/>
        <w:gridCol w:w="755"/>
      </w:tblGrid>
      <w:tr w14:paraId="56BCE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99" w:type="dxa"/>
            <w:noWrap w:val="0"/>
            <w:vAlign w:val="top"/>
          </w:tcPr>
          <w:p w14:paraId="5F582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得分</w:t>
            </w:r>
          </w:p>
        </w:tc>
        <w:tc>
          <w:tcPr>
            <w:tcW w:w="795" w:type="dxa"/>
            <w:noWrap w:val="0"/>
            <w:vAlign w:val="top"/>
          </w:tcPr>
          <w:p w14:paraId="7AB81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795" w:type="dxa"/>
            <w:noWrap w:val="0"/>
            <w:vAlign w:val="top"/>
          </w:tcPr>
          <w:p w14:paraId="7A9F9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765" w:type="dxa"/>
            <w:noWrap w:val="0"/>
            <w:vAlign w:val="top"/>
          </w:tcPr>
          <w:p w14:paraId="6F104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750" w:type="dxa"/>
            <w:noWrap w:val="0"/>
            <w:vAlign w:val="top"/>
          </w:tcPr>
          <w:p w14:paraId="37856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40</w:t>
            </w:r>
          </w:p>
        </w:tc>
        <w:tc>
          <w:tcPr>
            <w:tcW w:w="894" w:type="dxa"/>
            <w:noWrap w:val="0"/>
            <w:vAlign w:val="top"/>
          </w:tcPr>
          <w:p w14:paraId="3859CC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50</w:t>
            </w:r>
          </w:p>
        </w:tc>
        <w:tc>
          <w:tcPr>
            <w:tcW w:w="780" w:type="dxa"/>
            <w:noWrap w:val="0"/>
            <w:vAlign w:val="top"/>
          </w:tcPr>
          <w:p w14:paraId="3A8D3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60</w:t>
            </w:r>
          </w:p>
        </w:tc>
        <w:tc>
          <w:tcPr>
            <w:tcW w:w="780" w:type="dxa"/>
            <w:noWrap w:val="0"/>
            <w:vAlign w:val="top"/>
          </w:tcPr>
          <w:p w14:paraId="245E2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70</w:t>
            </w:r>
          </w:p>
        </w:tc>
        <w:tc>
          <w:tcPr>
            <w:tcW w:w="780" w:type="dxa"/>
            <w:noWrap w:val="0"/>
            <w:vAlign w:val="top"/>
          </w:tcPr>
          <w:p w14:paraId="24C39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80</w:t>
            </w:r>
          </w:p>
        </w:tc>
        <w:tc>
          <w:tcPr>
            <w:tcW w:w="790" w:type="dxa"/>
            <w:noWrap w:val="0"/>
            <w:vAlign w:val="top"/>
          </w:tcPr>
          <w:p w14:paraId="0F9F6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90</w:t>
            </w:r>
          </w:p>
        </w:tc>
        <w:tc>
          <w:tcPr>
            <w:tcW w:w="755" w:type="dxa"/>
            <w:noWrap w:val="0"/>
            <w:vAlign w:val="top"/>
          </w:tcPr>
          <w:p w14:paraId="59FFA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100</w:t>
            </w:r>
          </w:p>
        </w:tc>
      </w:tr>
      <w:tr w14:paraId="2190C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" w:hRule="atLeast"/>
          <w:jc w:val="center"/>
        </w:trPr>
        <w:tc>
          <w:tcPr>
            <w:tcW w:w="699" w:type="dxa"/>
            <w:noWrap w:val="0"/>
            <w:vAlign w:val="top"/>
          </w:tcPr>
          <w:p w14:paraId="7A50B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成绩</w:t>
            </w:r>
          </w:p>
        </w:tc>
        <w:tc>
          <w:tcPr>
            <w:tcW w:w="795" w:type="dxa"/>
            <w:noWrap w:val="0"/>
            <w:vAlign w:val="top"/>
          </w:tcPr>
          <w:p w14:paraId="3F540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25″</w:t>
            </w:r>
          </w:p>
        </w:tc>
        <w:tc>
          <w:tcPr>
            <w:tcW w:w="795" w:type="dxa"/>
            <w:noWrap w:val="0"/>
            <w:vAlign w:val="top"/>
          </w:tcPr>
          <w:p w14:paraId="049B3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4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65" w:type="dxa"/>
            <w:noWrap w:val="0"/>
            <w:vAlign w:val="top"/>
          </w:tcPr>
          <w:p w14:paraId="45464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50" w:type="dxa"/>
            <w:noWrap w:val="0"/>
            <w:vAlign w:val="top"/>
          </w:tcPr>
          <w:p w14:paraId="24004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2</w:t>
            </w: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894" w:type="dxa"/>
            <w:noWrap w:val="0"/>
            <w:vAlign w:val="top"/>
          </w:tcPr>
          <w:p w14:paraId="68A6B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18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80" w:type="dxa"/>
            <w:noWrap w:val="0"/>
            <w:vAlign w:val="top"/>
          </w:tcPr>
          <w:p w14:paraId="5F047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17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80" w:type="dxa"/>
            <w:noWrap w:val="0"/>
            <w:vAlign w:val="top"/>
          </w:tcPr>
          <w:p w14:paraId="7D3C1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15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80" w:type="dxa"/>
            <w:noWrap w:val="0"/>
            <w:vAlign w:val="top"/>
          </w:tcPr>
          <w:p w14:paraId="7B39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14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90" w:type="dxa"/>
            <w:noWrap w:val="0"/>
            <w:vAlign w:val="top"/>
          </w:tcPr>
          <w:p w14:paraId="545986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12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  <w:tc>
          <w:tcPr>
            <w:tcW w:w="755" w:type="dxa"/>
            <w:noWrap w:val="0"/>
            <w:vAlign w:val="top"/>
          </w:tcPr>
          <w:p w14:paraId="70A14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仿宋" w:cs="Times New Roman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″</w:t>
            </w:r>
          </w:p>
        </w:tc>
      </w:tr>
    </w:tbl>
    <w:p w14:paraId="310B15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</w:p>
    <w:p w14:paraId="653E6D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</w:p>
    <w:p w14:paraId="0721F4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</w:p>
    <w:p w14:paraId="377E18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jc w:val="left"/>
        <w:textAlignment w:val="auto"/>
        <w:rPr>
          <w:rFonts w:hint="eastAsia" w:ascii="Times New Roman" w:hAnsi="Times New Roman" w:eastAsia="方正黑体_GBK" w:cs="Times New Roman"/>
          <w:sz w:val="28"/>
          <w:szCs w:val="28"/>
          <w:highlight w:val="none"/>
          <w:lang w:val="en-US" w:eastAsia="zh-CN"/>
        </w:rPr>
      </w:pPr>
    </w:p>
    <w:p w14:paraId="52BED4A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73066"/>
    <w:rsid w:val="20C653EB"/>
    <w:rsid w:val="20F72F72"/>
    <w:rsid w:val="6FF7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Calibri" w:hAnsi="Calibri" w:eastAsia="仿宋_GB2312" w:cs="Times New Roman"/>
      <w:sz w:val="32"/>
      <w:szCs w:val="21"/>
    </w:rPr>
  </w:style>
  <w:style w:type="paragraph" w:styleId="3">
    <w:name w:val="Body Text First Indent 2"/>
    <w:basedOn w:val="2"/>
    <w:qFormat/>
    <w:uiPriority w:val="0"/>
    <w:pPr>
      <w:ind w:firstLine="420" w:firstLine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1219</Words>
  <Characters>1521</Characters>
  <Lines>0</Lines>
  <Paragraphs>0</Paragraphs>
  <TotalTime>2</TotalTime>
  <ScaleCrop>false</ScaleCrop>
  <LinksUpToDate>false</LinksUpToDate>
  <CharactersWithSpaces>1521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2026-10-12T06:43:00Z</dcterms:created>
  <dc:creator>晕晕</dc:creator>
  <cp:lastModifiedBy>晕晕</cp:lastModifiedBy>
  <dcterms:modified xsi:type="dcterms:W3CDTF">2026-10-12T08:15:58Z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236FA2EB686C4DA48F68C7F62D40DE12_11</vt:lpwstr>
  </property>
  <property fmtid="{D5CDD505-2E9C-101B-9397-08002B2CF9AE}" pid="4" name="KSOTemplateDocerSaveRecord">
    <vt:lpwstr>eyJoZGlkIjoiMDdjMWViOGNiODEwNmJlZmVhYjc5MjZkNWM5YWY5MzQiLCJ1c2VySWQiOiIzNjI3ODM0NTIifQ==</vt:lpwstr>
  </property>
</Properties>
</file>