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2538E0">
      <w:pPr>
        <w:keepNext w:val="0"/>
        <w:keepLines w:val="0"/>
        <w:pageBreakBefore w:val="0"/>
        <w:widowControl w:val="0"/>
        <w:wordWrap/>
        <w:overflowPunct/>
        <w:topLinePunct w:val="0"/>
        <w:bidi w:val="0"/>
        <w:spacing w:line="520" w:lineRule="exact"/>
        <w:rPr>
          <w:rFonts w:eastAsia="黑体"/>
          <w:sz w:val="32"/>
          <w:szCs w:val="32"/>
        </w:rPr>
      </w:pPr>
      <w:r>
        <w:rPr>
          <w:rFonts w:eastAsia="黑体"/>
          <w:sz w:val="32"/>
          <w:szCs w:val="32"/>
        </w:rPr>
        <w:t>附件1</w:t>
      </w:r>
      <w:bookmarkStart w:id="0" w:name="_GoBack"/>
      <w:bookmarkEnd w:id="0"/>
    </w:p>
    <w:p w14:paraId="618A7E97">
      <w:pPr>
        <w:pStyle w:val="4"/>
        <w:keepNext w:val="0"/>
        <w:keepLines w:val="0"/>
        <w:pageBreakBefore w:val="0"/>
        <w:widowControl w:val="0"/>
        <w:wordWrap/>
        <w:overflowPunct/>
        <w:topLinePunct w:val="0"/>
        <w:bidi w:val="0"/>
        <w:rPr>
          <w:rFonts w:ascii="Times New Roman" w:cs="Times New Roman"/>
        </w:rPr>
      </w:pPr>
    </w:p>
    <w:p w14:paraId="592CDFC1">
      <w:pPr>
        <w:keepNext w:val="0"/>
        <w:keepLines w:val="0"/>
        <w:pageBreakBefore w:val="0"/>
        <w:widowControl w:val="0"/>
        <w:wordWrap/>
        <w:overflowPunct/>
        <w:topLinePunct w:val="0"/>
        <w:bidi w:val="0"/>
        <w:adjustRightInd w:val="0"/>
        <w:snapToGrid w:val="0"/>
        <w:spacing w:line="540" w:lineRule="exact"/>
        <w:jc w:val="center"/>
        <w:rPr>
          <w:rFonts w:eastAsia="方正小标宋简体"/>
          <w:w w:val="98"/>
          <w:sz w:val="44"/>
          <w:szCs w:val="44"/>
        </w:rPr>
      </w:pPr>
      <w:r>
        <w:rPr>
          <w:rFonts w:eastAsia="方正小标宋简体"/>
          <w:w w:val="98"/>
          <w:sz w:val="44"/>
          <w:szCs w:val="44"/>
        </w:rPr>
        <w:t>攀枝花钒钛高新国有资本投资运营有限公司</w:t>
      </w:r>
    </w:p>
    <w:p w14:paraId="4C275347">
      <w:pPr>
        <w:keepNext w:val="0"/>
        <w:keepLines w:val="0"/>
        <w:pageBreakBefore w:val="0"/>
        <w:widowControl w:val="0"/>
        <w:wordWrap/>
        <w:overflowPunct/>
        <w:topLinePunct w:val="0"/>
        <w:bidi w:val="0"/>
        <w:adjustRightInd w:val="0"/>
        <w:snapToGrid w:val="0"/>
        <w:spacing w:line="540" w:lineRule="exact"/>
        <w:jc w:val="center"/>
        <w:rPr>
          <w:rFonts w:eastAsia="方正小标宋简体"/>
          <w:sz w:val="44"/>
          <w:szCs w:val="44"/>
        </w:rPr>
      </w:pPr>
      <w:r>
        <w:rPr>
          <w:rFonts w:eastAsia="方正小标宋简体"/>
          <w:sz w:val="44"/>
          <w:szCs w:val="44"/>
        </w:rPr>
        <w:t>2026年</w:t>
      </w:r>
      <w:r>
        <w:rPr>
          <w:rFonts w:hint="eastAsia" w:eastAsia="方正小标宋简体"/>
          <w:sz w:val="44"/>
          <w:szCs w:val="44"/>
          <w:lang w:val="en-US" w:eastAsia="zh-CN"/>
        </w:rPr>
        <w:t>补充</w:t>
      </w:r>
      <w:r>
        <w:rPr>
          <w:rFonts w:eastAsia="方正小标宋简体"/>
          <w:sz w:val="44"/>
          <w:szCs w:val="44"/>
        </w:rPr>
        <w:t>招聘岗位需求表</w:t>
      </w:r>
    </w:p>
    <w:tbl>
      <w:tblPr>
        <w:tblStyle w:val="5"/>
        <w:tblpPr w:leftFromText="180" w:rightFromText="180" w:vertAnchor="text" w:horzAnchor="page" w:tblpXSpec="center" w:tblpY="468"/>
        <w:tblOverlap w:val="never"/>
        <w:tblW w:w="115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2" w:type="dxa"/>
          <w:left w:w="64" w:type="dxa"/>
          <w:bottom w:w="32" w:type="dxa"/>
          <w:right w:w="64" w:type="dxa"/>
        </w:tblCellMar>
      </w:tblPr>
      <w:tblGrid>
        <w:gridCol w:w="739"/>
        <w:gridCol w:w="750"/>
        <w:gridCol w:w="750"/>
        <w:gridCol w:w="634"/>
        <w:gridCol w:w="3860"/>
        <w:gridCol w:w="4162"/>
        <w:gridCol w:w="677"/>
      </w:tblGrid>
      <w:tr w14:paraId="013CF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90" w:hRule="atLeast"/>
          <w:jc w:val="center"/>
        </w:trPr>
        <w:tc>
          <w:tcPr>
            <w:tcW w:w="739" w:type="dxa"/>
            <w:noWrap w:val="0"/>
            <w:vAlign w:val="center"/>
          </w:tcPr>
          <w:p w14:paraId="2D79E8BA">
            <w:pPr>
              <w:keepNext w:val="0"/>
              <w:keepLines w:val="0"/>
              <w:pageBreakBefore w:val="0"/>
              <w:widowControl w:val="0"/>
              <w:kinsoku w:val="0"/>
              <w:wordWrap/>
              <w:overflowPunct/>
              <w:topLinePunct w:val="0"/>
              <w:autoSpaceDE w:val="0"/>
              <w:autoSpaceDN w:val="0"/>
              <w:bidi w:val="0"/>
              <w:adjustRightInd w:val="0"/>
              <w:snapToGrid w:val="0"/>
              <w:spacing w:line="240" w:lineRule="exact"/>
              <w:jc w:val="center"/>
              <w:textAlignment w:val="center"/>
              <w:rPr>
                <w:rFonts w:eastAsia="黑体"/>
                <w:snapToGrid w:val="0"/>
                <w:color w:val="000000"/>
                <w:kern w:val="0"/>
                <w:szCs w:val="21"/>
                <w:lang w:bidi="ar"/>
              </w:rPr>
            </w:pPr>
            <w:r>
              <w:rPr>
                <w:rFonts w:eastAsia="黑体"/>
                <w:snapToGrid w:val="0"/>
                <w:color w:val="000000"/>
                <w:kern w:val="0"/>
                <w:szCs w:val="21"/>
                <w:lang w:bidi="ar"/>
              </w:rPr>
              <w:t>用人</w:t>
            </w:r>
          </w:p>
          <w:p w14:paraId="56C3DC80">
            <w:pPr>
              <w:keepNext w:val="0"/>
              <w:keepLines w:val="0"/>
              <w:pageBreakBefore w:val="0"/>
              <w:widowControl w:val="0"/>
              <w:kinsoku w:val="0"/>
              <w:wordWrap/>
              <w:overflowPunct/>
              <w:topLinePunct w:val="0"/>
              <w:autoSpaceDE w:val="0"/>
              <w:autoSpaceDN w:val="0"/>
              <w:bidi w:val="0"/>
              <w:adjustRightInd w:val="0"/>
              <w:snapToGrid w:val="0"/>
              <w:spacing w:line="240" w:lineRule="exact"/>
              <w:jc w:val="center"/>
              <w:textAlignment w:val="center"/>
              <w:rPr>
                <w:rFonts w:eastAsia="黑体"/>
                <w:color w:val="000000"/>
                <w:szCs w:val="21"/>
              </w:rPr>
            </w:pPr>
            <w:r>
              <w:rPr>
                <w:rFonts w:eastAsia="黑体"/>
                <w:snapToGrid w:val="0"/>
                <w:color w:val="000000"/>
                <w:kern w:val="0"/>
                <w:szCs w:val="21"/>
                <w:lang w:bidi="ar"/>
              </w:rPr>
              <w:t>单位</w:t>
            </w:r>
          </w:p>
        </w:tc>
        <w:tc>
          <w:tcPr>
            <w:tcW w:w="750" w:type="dxa"/>
            <w:noWrap w:val="0"/>
            <w:vAlign w:val="center"/>
          </w:tcPr>
          <w:p w14:paraId="765A3AFE">
            <w:pPr>
              <w:keepNext w:val="0"/>
              <w:keepLines w:val="0"/>
              <w:pageBreakBefore w:val="0"/>
              <w:widowControl w:val="0"/>
              <w:kinsoku w:val="0"/>
              <w:wordWrap/>
              <w:overflowPunct/>
              <w:topLinePunct w:val="0"/>
              <w:autoSpaceDE w:val="0"/>
              <w:autoSpaceDN w:val="0"/>
              <w:bidi w:val="0"/>
              <w:adjustRightInd w:val="0"/>
              <w:snapToGrid w:val="0"/>
              <w:spacing w:line="240" w:lineRule="exact"/>
              <w:jc w:val="center"/>
              <w:textAlignment w:val="center"/>
              <w:rPr>
                <w:rFonts w:hint="default" w:eastAsia="黑体"/>
                <w:snapToGrid w:val="0"/>
                <w:color w:val="000000"/>
                <w:kern w:val="0"/>
                <w:szCs w:val="21"/>
                <w:lang w:val="en-US" w:eastAsia="zh-CN" w:bidi="ar"/>
              </w:rPr>
            </w:pPr>
            <w:r>
              <w:rPr>
                <w:rFonts w:hint="eastAsia" w:eastAsia="黑体"/>
                <w:snapToGrid w:val="0"/>
                <w:color w:val="000000"/>
                <w:kern w:val="0"/>
                <w:szCs w:val="21"/>
                <w:lang w:val="en-US" w:eastAsia="zh-CN" w:bidi="ar"/>
              </w:rPr>
              <w:t>岗位性质</w:t>
            </w:r>
          </w:p>
        </w:tc>
        <w:tc>
          <w:tcPr>
            <w:tcW w:w="750" w:type="dxa"/>
            <w:noWrap w:val="0"/>
            <w:vAlign w:val="center"/>
          </w:tcPr>
          <w:p w14:paraId="134930B7">
            <w:pPr>
              <w:keepNext w:val="0"/>
              <w:keepLines w:val="0"/>
              <w:pageBreakBefore w:val="0"/>
              <w:widowControl w:val="0"/>
              <w:kinsoku w:val="0"/>
              <w:wordWrap/>
              <w:overflowPunct/>
              <w:topLinePunct w:val="0"/>
              <w:autoSpaceDE w:val="0"/>
              <w:autoSpaceDN w:val="0"/>
              <w:bidi w:val="0"/>
              <w:adjustRightInd w:val="0"/>
              <w:snapToGrid w:val="0"/>
              <w:spacing w:line="240" w:lineRule="exact"/>
              <w:jc w:val="center"/>
              <w:textAlignment w:val="center"/>
              <w:rPr>
                <w:rFonts w:eastAsia="黑体"/>
                <w:snapToGrid w:val="0"/>
                <w:color w:val="000000"/>
                <w:kern w:val="0"/>
                <w:szCs w:val="21"/>
                <w:lang w:bidi="ar"/>
              </w:rPr>
            </w:pPr>
            <w:r>
              <w:rPr>
                <w:rFonts w:eastAsia="黑体"/>
                <w:snapToGrid w:val="0"/>
                <w:color w:val="000000"/>
                <w:kern w:val="0"/>
                <w:szCs w:val="21"/>
                <w:lang w:bidi="ar"/>
              </w:rPr>
              <w:t>岗位</w:t>
            </w:r>
          </w:p>
          <w:p w14:paraId="26902699">
            <w:pPr>
              <w:keepNext w:val="0"/>
              <w:keepLines w:val="0"/>
              <w:pageBreakBefore w:val="0"/>
              <w:widowControl w:val="0"/>
              <w:kinsoku w:val="0"/>
              <w:wordWrap/>
              <w:overflowPunct/>
              <w:topLinePunct w:val="0"/>
              <w:autoSpaceDE w:val="0"/>
              <w:autoSpaceDN w:val="0"/>
              <w:bidi w:val="0"/>
              <w:adjustRightInd w:val="0"/>
              <w:snapToGrid w:val="0"/>
              <w:spacing w:line="240" w:lineRule="exact"/>
              <w:jc w:val="center"/>
              <w:textAlignment w:val="center"/>
              <w:rPr>
                <w:rFonts w:eastAsia="黑体"/>
                <w:color w:val="000000"/>
                <w:szCs w:val="21"/>
              </w:rPr>
            </w:pPr>
            <w:r>
              <w:rPr>
                <w:rFonts w:eastAsia="黑体"/>
                <w:snapToGrid w:val="0"/>
                <w:color w:val="000000"/>
                <w:kern w:val="0"/>
                <w:szCs w:val="21"/>
                <w:lang w:bidi="ar"/>
              </w:rPr>
              <w:t>名称</w:t>
            </w:r>
          </w:p>
        </w:tc>
        <w:tc>
          <w:tcPr>
            <w:tcW w:w="634" w:type="dxa"/>
            <w:noWrap w:val="0"/>
            <w:vAlign w:val="center"/>
          </w:tcPr>
          <w:p w14:paraId="20BD1DBE">
            <w:pPr>
              <w:keepNext w:val="0"/>
              <w:keepLines w:val="0"/>
              <w:pageBreakBefore w:val="0"/>
              <w:widowControl w:val="0"/>
              <w:kinsoku w:val="0"/>
              <w:wordWrap/>
              <w:overflowPunct/>
              <w:topLinePunct w:val="0"/>
              <w:autoSpaceDE w:val="0"/>
              <w:autoSpaceDN w:val="0"/>
              <w:bidi w:val="0"/>
              <w:adjustRightInd w:val="0"/>
              <w:snapToGrid w:val="0"/>
              <w:spacing w:line="240" w:lineRule="exact"/>
              <w:jc w:val="center"/>
              <w:textAlignment w:val="center"/>
              <w:rPr>
                <w:rFonts w:eastAsia="黑体"/>
                <w:snapToGrid w:val="0"/>
                <w:color w:val="000000"/>
                <w:kern w:val="0"/>
                <w:szCs w:val="21"/>
                <w:lang w:bidi="ar"/>
              </w:rPr>
            </w:pPr>
            <w:r>
              <w:rPr>
                <w:rFonts w:eastAsia="黑体"/>
                <w:snapToGrid w:val="0"/>
                <w:color w:val="000000"/>
                <w:kern w:val="0"/>
                <w:szCs w:val="21"/>
                <w:lang w:bidi="ar"/>
              </w:rPr>
              <w:t>招聘</w:t>
            </w:r>
          </w:p>
          <w:p w14:paraId="000FCD4A">
            <w:pPr>
              <w:keepNext w:val="0"/>
              <w:keepLines w:val="0"/>
              <w:pageBreakBefore w:val="0"/>
              <w:widowControl w:val="0"/>
              <w:kinsoku w:val="0"/>
              <w:wordWrap/>
              <w:overflowPunct/>
              <w:topLinePunct w:val="0"/>
              <w:autoSpaceDE w:val="0"/>
              <w:autoSpaceDN w:val="0"/>
              <w:bidi w:val="0"/>
              <w:adjustRightInd w:val="0"/>
              <w:snapToGrid w:val="0"/>
              <w:spacing w:line="240" w:lineRule="exact"/>
              <w:jc w:val="center"/>
              <w:textAlignment w:val="center"/>
              <w:rPr>
                <w:rFonts w:eastAsia="黑体"/>
                <w:color w:val="000000"/>
                <w:szCs w:val="21"/>
              </w:rPr>
            </w:pPr>
            <w:r>
              <w:rPr>
                <w:rFonts w:eastAsia="黑体"/>
                <w:snapToGrid w:val="0"/>
                <w:color w:val="000000"/>
                <w:kern w:val="0"/>
                <w:szCs w:val="21"/>
                <w:lang w:bidi="ar"/>
              </w:rPr>
              <w:t>人数</w:t>
            </w:r>
          </w:p>
        </w:tc>
        <w:tc>
          <w:tcPr>
            <w:tcW w:w="3860" w:type="dxa"/>
            <w:noWrap w:val="0"/>
            <w:vAlign w:val="center"/>
          </w:tcPr>
          <w:p w14:paraId="131B4562">
            <w:pPr>
              <w:keepNext w:val="0"/>
              <w:keepLines w:val="0"/>
              <w:pageBreakBefore w:val="0"/>
              <w:widowControl w:val="0"/>
              <w:kinsoku w:val="0"/>
              <w:wordWrap/>
              <w:overflowPunct/>
              <w:topLinePunct w:val="0"/>
              <w:autoSpaceDE w:val="0"/>
              <w:autoSpaceDN w:val="0"/>
              <w:bidi w:val="0"/>
              <w:adjustRightInd w:val="0"/>
              <w:snapToGrid w:val="0"/>
              <w:spacing w:line="240" w:lineRule="exact"/>
              <w:jc w:val="center"/>
              <w:textAlignment w:val="center"/>
              <w:rPr>
                <w:rFonts w:eastAsia="黑体"/>
                <w:color w:val="000000"/>
                <w:szCs w:val="21"/>
              </w:rPr>
            </w:pPr>
            <w:r>
              <w:rPr>
                <w:rFonts w:eastAsia="黑体"/>
                <w:snapToGrid w:val="0"/>
                <w:color w:val="000000"/>
                <w:kern w:val="0"/>
                <w:szCs w:val="21"/>
                <w:lang w:bidi="ar"/>
              </w:rPr>
              <w:t>岗位职责</w:t>
            </w:r>
          </w:p>
        </w:tc>
        <w:tc>
          <w:tcPr>
            <w:tcW w:w="4162" w:type="dxa"/>
            <w:noWrap w:val="0"/>
            <w:vAlign w:val="center"/>
          </w:tcPr>
          <w:p w14:paraId="058F703B">
            <w:pPr>
              <w:keepNext w:val="0"/>
              <w:keepLines w:val="0"/>
              <w:pageBreakBefore w:val="0"/>
              <w:widowControl w:val="0"/>
              <w:kinsoku w:val="0"/>
              <w:wordWrap/>
              <w:overflowPunct/>
              <w:topLinePunct w:val="0"/>
              <w:autoSpaceDE w:val="0"/>
              <w:autoSpaceDN w:val="0"/>
              <w:bidi w:val="0"/>
              <w:adjustRightInd w:val="0"/>
              <w:snapToGrid w:val="0"/>
              <w:spacing w:line="240" w:lineRule="exact"/>
              <w:jc w:val="center"/>
              <w:textAlignment w:val="center"/>
              <w:rPr>
                <w:rFonts w:eastAsia="黑体"/>
                <w:color w:val="000000"/>
                <w:szCs w:val="21"/>
              </w:rPr>
            </w:pPr>
            <w:r>
              <w:rPr>
                <w:rFonts w:eastAsia="黑体"/>
                <w:snapToGrid w:val="0"/>
                <w:color w:val="000000"/>
                <w:kern w:val="0"/>
                <w:szCs w:val="21"/>
                <w:lang w:bidi="ar"/>
              </w:rPr>
              <w:t>任职资格条件</w:t>
            </w:r>
          </w:p>
        </w:tc>
        <w:tc>
          <w:tcPr>
            <w:tcW w:w="677" w:type="dxa"/>
            <w:noWrap w:val="0"/>
            <w:vAlign w:val="center"/>
          </w:tcPr>
          <w:p w14:paraId="684AE64C">
            <w:pPr>
              <w:keepNext w:val="0"/>
              <w:keepLines w:val="0"/>
              <w:pageBreakBefore w:val="0"/>
              <w:widowControl w:val="0"/>
              <w:kinsoku w:val="0"/>
              <w:wordWrap/>
              <w:overflowPunct/>
              <w:topLinePunct w:val="0"/>
              <w:autoSpaceDE w:val="0"/>
              <w:autoSpaceDN w:val="0"/>
              <w:bidi w:val="0"/>
              <w:adjustRightInd w:val="0"/>
              <w:snapToGrid w:val="0"/>
              <w:spacing w:line="240" w:lineRule="exact"/>
              <w:jc w:val="center"/>
              <w:textAlignment w:val="center"/>
              <w:rPr>
                <w:rFonts w:eastAsia="黑体"/>
                <w:snapToGrid w:val="0"/>
                <w:color w:val="000000"/>
                <w:kern w:val="0"/>
                <w:szCs w:val="21"/>
                <w:lang w:bidi="ar"/>
              </w:rPr>
            </w:pPr>
            <w:r>
              <w:rPr>
                <w:rFonts w:eastAsia="黑体"/>
                <w:snapToGrid w:val="0"/>
                <w:color w:val="000000"/>
                <w:kern w:val="0"/>
                <w:szCs w:val="21"/>
                <w:lang w:bidi="ar"/>
              </w:rPr>
              <w:t>薪酬</w:t>
            </w:r>
          </w:p>
          <w:p w14:paraId="6A98CB37">
            <w:pPr>
              <w:keepNext w:val="0"/>
              <w:keepLines w:val="0"/>
              <w:pageBreakBefore w:val="0"/>
              <w:widowControl w:val="0"/>
              <w:kinsoku w:val="0"/>
              <w:wordWrap/>
              <w:overflowPunct/>
              <w:topLinePunct w:val="0"/>
              <w:autoSpaceDE w:val="0"/>
              <w:autoSpaceDN w:val="0"/>
              <w:bidi w:val="0"/>
              <w:adjustRightInd w:val="0"/>
              <w:snapToGrid w:val="0"/>
              <w:spacing w:line="240" w:lineRule="exact"/>
              <w:jc w:val="center"/>
              <w:textAlignment w:val="center"/>
              <w:rPr>
                <w:rFonts w:eastAsia="黑体"/>
                <w:color w:val="000000"/>
                <w:szCs w:val="21"/>
              </w:rPr>
            </w:pPr>
            <w:r>
              <w:rPr>
                <w:rFonts w:eastAsia="黑体"/>
                <w:snapToGrid w:val="0"/>
                <w:color w:val="000000"/>
                <w:kern w:val="0"/>
                <w:szCs w:val="21"/>
                <w:lang w:bidi="ar"/>
              </w:rPr>
              <w:t>待遇</w:t>
            </w:r>
          </w:p>
        </w:tc>
      </w:tr>
      <w:tr w14:paraId="29005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90" w:hRule="atLeast"/>
          <w:jc w:val="center"/>
        </w:trPr>
        <w:tc>
          <w:tcPr>
            <w:tcW w:w="739" w:type="dxa"/>
            <w:vMerge w:val="restart"/>
            <w:noWrap w:val="0"/>
            <w:vAlign w:val="center"/>
          </w:tcPr>
          <w:p w14:paraId="2D95BD8A">
            <w:pPr>
              <w:keepNext w:val="0"/>
              <w:keepLines w:val="0"/>
              <w:pageBreakBefore w:val="0"/>
              <w:widowControl w:val="0"/>
              <w:kinsoku w:val="0"/>
              <w:wordWrap/>
              <w:overflowPunct/>
              <w:topLinePunct w:val="0"/>
              <w:autoSpaceDE w:val="0"/>
              <w:autoSpaceDN w:val="0"/>
              <w:bidi w:val="0"/>
              <w:adjustRightInd w:val="0"/>
              <w:snapToGrid w:val="0"/>
              <w:spacing w:line="240" w:lineRule="exact"/>
              <w:jc w:val="center"/>
              <w:textAlignment w:val="center"/>
              <w:rPr>
                <w:rFonts w:eastAsia="方正仿宋_GBK"/>
                <w:color w:val="000000"/>
                <w:kern w:val="0"/>
                <w:szCs w:val="21"/>
                <w:lang w:bidi="ar"/>
              </w:rPr>
            </w:pPr>
            <w:r>
              <w:rPr>
                <w:rFonts w:eastAsia="方正仿宋_GBK"/>
                <w:color w:val="000000"/>
                <w:kern w:val="0"/>
                <w:szCs w:val="21"/>
                <w:lang w:bidi="ar"/>
              </w:rPr>
              <w:t>攀枝花钒钛高新国有资本投资运营有限公司</w:t>
            </w:r>
          </w:p>
          <w:p w14:paraId="19B4DF04"/>
          <w:p w14:paraId="06911358">
            <w:pPr>
              <w:keepNext w:val="0"/>
              <w:keepLines w:val="0"/>
              <w:pageBreakBefore w:val="0"/>
              <w:widowControl w:val="0"/>
              <w:kinsoku w:val="0"/>
              <w:wordWrap/>
              <w:overflowPunct/>
              <w:topLinePunct w:val="0"/>
              <w:autoSpaceDE w:val="0"/>
              <w:autoSpaceDN w:val="0"/>
              <w:bidi w:val="0"/>
              <w:adjustRightInd w:val="0"/>
              <w:snapToGrid w:val="0"/>
              <w:spacing w:line="240" w:lineRule="exact"/>
              <w:jc w:val="center"/>
              <w:textAlignment w:val="center"/>
              <w:rPr>
                <w:rFonts w:eastAsia="方正仿宋_GBK"/>
                <w:color w:val="000000"/>
                <w:kern w:val="0"/>
                <w:szCs w:val="21"/>
                <w:lang w:bidi="ar"/>
              </w:rPr>
            </w:pPr>
          </w:p>
        </w:tc>
        <w:tc>
          <w:tcPr>
            <w:tcW w:w="750" w:type="dxa"/>
            <w:noWrap w:val="0"/>
            <w:vAlign w:val="center"/>
          </w:tcPr>
          <w:p w14:paraId="40155E49">
            <w:pPr>
              <w:keepNext w:val="0"/>
              <w:keepLines w:val="0"/>
              <w:pageBreakBefore w:val="0"/>
              <w:widowControl w:val="0"/>
              <w:kinsoku w:val="0"/>
              <w:wordWrap/>
              <w:overflowPunct/>
              <w:topLinePunct w:val="0"/>
              <w:autoSpaceDE w:val="0"/>
              <w:autoSpaceDN w:val="0"/>
              <w:bidi w:val="0"/>
              <w:adjustRightInd w:val="0"/>
              <w:snapToGrid w:val="0"/>
              <w:spacing w:line="240" w:lineRule="exact"/>
              <w:jc w:val="center"/>
              <w:textAlignment w:val="center"/>
              <w:rPr>
                <w:rFonts w:hint="default" w:eastAsia="方正仿宋_GBK"/>
                <w:color w:val="000000"/>
                <w:kern w:val="0"/>
                <w:szCs w:val="21"/>
                <w:lang w:val="en-US" w:eastAsia="zh-CN" w:bidi="ar"/>
              </w:rPr>
            </w:pPr>
            <w:r>
              <w:rPr>
                <w:rFonts w:hint="eastAsia" w:eastAsia="方正仿宋_GBK"/>
                <w:color w:val="000000"/>
                <w:kern w:val="0"/>
                <w:szCs w:val="21"/>
                <w:lang w:val="en-US" w:eastAsia="zh-CN" w:bidi="ar"/>
              </w:rPr>
              <w:t>管理技术岗</w:t>
            </w:r>
          </w:p>
        </w:tc>
        <w:tc>
          <w:tcPr>
            <w:tcW w:w="750" w:type="dxa"/>
            <w:noWrap w:val="0"/>
            <w:vAlign w:val="center"/>
          </w:tcPr>
          <w:p w14:paraId="35F030C5">
            <w:pPr>
              <w:keepNext w:val="0"/>
              <w:keepLines w:val="0"/>
              <w:pageBreakBefore w:val="0"/>
              <w:widowControl w:val="0"/>
              <w:kinsoku w:val="0"/>
              <w:wordWrap/>
              <w:overflowPunct/>
              <w:topLinePunct w:val="0"/>
              <w:autoSpaceDE w:val="0"/>
              <w:autoSpaceDN w:val="0"/>
              <w:bidi w:val="0"/>
              <w:adjustRightInd w:val="0"/>
              <w:snapToGrid w:val="0"/>
              <w:spacing w:line="240" w:lineRule="exact"/>
              <w:jc w:val="center"/>
              <w:textAlignment w:val="center"/>
              <w:rPr>
                <w:rFonts w:eastAsia="方正仿宋_GBK"/>
                <w:color w:val="000000"/>
                <w:szCs w:val="21"/>
              </w:rPr>
            </w:pPr>
            <w:r>
              <w:rPr>
                <w:rFonts w:eastAsia="方正仿宋_GBK"/>
                <w:color w:val="000000"/>
                <w:kern w:val="0"/>
                <w:szCs w:val="21"/>
                <w:lang w:bidi="ar"/>
              </w:rPr>
              <w:t>专用车运营中心制造部部长</w:t>
            </w:r>
          </w:p>
        </w:tc>
        <w:tc>
          <w:tcPr>
            <w:tcW w:w="634" w:type="dxa"/>
            <w:noWrap w:val="0"/>
            <w:vAlign w:val="center"/>
          </w:tcPr>
          <w:p w14:paraId="55246A0E">
            <w:pPr>
              <w:keepNext w:val="0"/>
              <w:keepLines w:val="0"/>
              <w:pageBreakBefore w:val="0"/>
              <w:widowControl w:val="0"/>
              <w:kinsoku w:val="0"/>
              <w:wordWrap/>
              <w:overflowPunct/>
              <w:topLinePunct w:val="0"/>
              <w:autoSpaceDE w:val="0"/>
              <w:autoSpaceDN w:val="0"/>
              <w:bidi w:val="0"/>
              <w:adjustRightInd w:val="0"/>
              <w:snapToGrid w:val="0"/>
              <w:spacing w:line="240" w:lineRule="exact"/>
              <w:jc w:val="center"/>
              <w:textAlignment w:val="center"/>
              <w:rPr>
                <w:rFonts w:eastAsia="方正仿宋_GBK"/>
                <w:color w:val="000000"/>
                <w:szCs w:val="21"/>
              </w:rPr>
            </w:pPr>
            <w:r>
              <w:rPr>
                <w:rFonts w:hint="eastAsia" w:eastAsia="方正仿宋_GBK"/>
                <w:color w:val="000000"/>
                <w:szCs w:val="21"/>
              </w:rPr>
              <w:t>1</w:t>
            </w:r>
          </w:p>
        </w:tc>
        <w:tc>
          <w:tcPr>
            <w:tcW w:w="3860" w:type="dxa"/>
            <w:noWrap w:val="0"/>
            <w:vAlign w:val="center"/>
          </w:tcPr>
          <w:p w14:paraId="15D3BBE6">
            <w:pPr>
              <w:keepNext w:val="0"/>
              <w:keepLines w:val="0"/>
              <w:pageBreakBefore w:val="0"/>
              <w:widowControl w:val="0"/>
              <w:kinsoku w:val="0"/>
              <w:wordWrap/>
              <w:overflowPunct/>
              <w:topLinePunct w:val="0"/>
              <w:autoSpaceDE w:val="0"/>
              <w:autoSpaceDN w:val="0"/>
              <w:bidi w:val="0"/>
              <w:adjustRightInd w:val="0"/>
              <w:snapToGrid w:val="0"/>
              <w:spacing w:line="260" w:lineRule="exact"/>
              <w:textAlignment w:val="center"/>
              <w:rPr>
                <w:rFonts w:hint="eastAsia"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sz w:val="18"/>
                <w:szCs w:val="18"/>
              </w:rPr>
              <w:t>全面主持制造部工作。具体包括：</w:t>
            </w:r>
          </w:p>
          <w:p w14:paraId="230C9B7B">
            <w:pPr>
              <w:keepNext w:val="0"/>
              <w:keepLines w:val="0"/>
              <w:pageBreakBefore w:val="0"/>
              <w:widowControl w:val="0"/>
              <w:kinsoku w:val="0"/>
              <w:wordWrap/>
              <w:overflowPunct/>
              <w:topLinePunct w:val="0"/>
              <w:autoSpaceDE w:val="0"/>
              <w:autoSpaceDN w:val="0"/>
              <w:bidi w:val="0"/>
              <w:adjustRightInd w:val="0"/>
              <w:snapToGrid w:val="0"/>
              <w:spacing w:line="260" w:lineRule="exact"/>
              <w:textAlignment w:val="center"/>
              <w:rPr>
                <w:rFonts w:hint="eastAsia"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sz w:val="18"/>
                <w:szCs w:val="18"/>
              </w:rPr>
              <w:t>1.负责专用车（如环卫车、物流车、工程车等）的生产运营管理；</w:t>
            </w:r>
          </w:p>
          <w:p w14:paraId="637BCBFC">
            <w:pPr>
              <w:keepNext w:val="0"/>
              <w:keepLines w:val="0"/>
              <w:pageBreakBefore w:val="0"/>
              <w:widowControl w:val="0"/>
              <w:kinsoku w:val="0"/>
              <w:wordWrap/>
              <w:overflowPunct/>
              <w:topLinePunct w:val="0"/>
              <w:autoSpaceDE w:val="0"/>
              <w:autoSpaceDN w:val="0"/>
              <w:bidi w:val="0"/>
              <w:adjustRightInd w:val="0"/>
              <w:snapToGrid w:val="0"/>
              <w:spacing w:line="260" w:lineRule="exact"/>
              <w:textAlignment w:val="center"/>
              <w:rPr>
                <w:rFonts w:hint="eastAsia"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sz w:val="18"/>
                <w:szCs w:val="18"/>
              </w:rPr>
              <w:t>2.制定并执行部门生产战略、年度计划与预算，确保生产任务高效、安全、保质完成；</w:t>
            </w:r>
          </w:p>
          <w:p w14:paraId="40AFA7A9">
            <w:pPr>
              <w:keepNext w:val="0"/>
              <w:keepLines w:val="0"/>
              <w:pageBreakBefore w:val="0"/>
              <w:widowControl w:val="0"/>
              <w:kinsoku w:val="0"/>
              <w:wordWrap/>
              <w:overflowPunct/>
              <w:topLinePunct w:val="0"/>
              <w:autoSpaceDE w:val="0"/>
              <w:autoSpaceDN w:val="0"/>
              <w:bidi w:val="0"/>
              <w:adjustRightInd w:val="0"/>
              <w:snapToGrid w:val="0"/>
              <w:spacing w:line="260" w:lineRule="exact"/>
              <w:textAlignment w:val="center"/>
              <w:rPr>
                <w:rFonts w:hint="eastAsia"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sz w:val="18"/>
                <w:szCs w:val="18"/>
              </w:rPr>
              <w:t>3.负责生产现场的全过程管理，包括生产计划与调度、工艺执行、设备管理、安全环保、质量控制、库存与物流等；</w:t>
            </w:r>
          </w:p>
          <w:p w14:paraId="0FACB2E9">
            <w:pPr>
              <w:keepNext w:val="0"/>
              <w:keepLines w:val="0"/>
              <w:pageBreakBefore w:val="0"/>
              <w:widowControl w:val="0"/>
              <w:kinsoku w:val="0"/>
              <w:wordWrap/>
              <w:overflowPunct/>
              <w:topLinePunct w:val="0"/>
              <w:autoSpaceDE w:val="0"/>
              <w:autoSpaceDN w:val="0"/>
              <w:bidi w:val="0"/>
              <w:adjustRightInd w:val="0"/>
              <w:snapToGrid w:val="0"/>
              <w:spacing w:line="260" w:lineRule="exact"/>
              <w:textAlignment w:val="center"/>
              <w:rPr>
                <w:rFonts w:hint="eastAsia"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sz w:val="18"/>
                <w:szCs w:val="18"/>
              </w:rPr>
              <w:t>4.持续推动精益生产、流程优化与降本增效；</w:t>
            </w:r>
          </w:p>
          <w:p w14:paraId="29AE571B">
            <w:pPr>
              <w:keepNext w:val="0"/>
              <w:keepLines w:val="0"/>
              <w:pageBreakBefore w:val="0"/>
              <w:widowControl w:val="0"/>
              <w:kinsoku w:val="0"/>
              <w:wordWrap/>
              <w:overflowPunct/>
              <w:topLinePunct w:val="0"/>
              <w:autoSpaceDE w:val="0"/>
              <w:autoSpaceDN w:val="0"/>
              <w:bidi w:val="0"/>
              <w:adjustRightInd w:val="0"/>
              <w:snapToGrid w:val="0"/>
              <w:spacing w:line="260" w:lineRule="exact"/>
              <w:textAlignment w:val="center"/>
              <w:rPr>
                <w:rFonts w:hint="eastAsia"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sz w:val="18"/>
                <w:szCs w:val="18"/>
              </w:rPr>
              <w:t>5.负责生产团队的建设、培训、考核与激励，提升团队执行力和综合效能。</w:t>
            </w:r>
          </w:p>
        </w:tc>
        <w:tc>
          <w:tcPr>
            <w:tcW w:w="4162" w:type="dxa"/>
            <w:noWrap w:val="0"/>
            <w:vAlign w:val="center"/>
          </w:tcPr>
          <w:p w14:paraId="2314EC4B">
            <w:pPr>
              <w:keepNext w:val="0"/>
              <w:keepLines w:val="0"/>
              <w:pageBreakBefore w:val="0"/>
              <w:widowControl w:val="0"/>
              <w:kinsoku w:val="0"/>
              <w:wordWrap/>
              <w:overflowPunct/>
              <w:topLinePunct w:val="0"/>
              <w:autoSpaceDE w:val="0"/>
              <w:autoSpaceDN w:val="0"/>
              <w:bidi w:val="0"/>
              <w:adjustRightInd w:val="0"/>
              <w:snapToGrid w:val="0"/>
              <w:spacing w:line="260" w:lineRule="exact"/>
              <w:textAlignment w:val="center"/>
              <w:rPr>
                <w:rFonts w:hint="eastAsia"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sz w:val="18"/>
                <w:szCs w:val="18"/>
              </w:rPr>
              <w:t>1.50周岁及以下，大学本科及以上学历，车辆工程、机械制造、工业工程、电气工程等相关专业；</w:t>
            </w:r>
          </w:p>
          <w:p w14:paraId="65017CB8">
            <w:pPr>
              <w:pStyle w:val="2"/>
              <w:keepNext w:val="0"/>
              <w:keepLines w:val="0"/>
              <w:pageBreakBefore w:val="0"/>
              <w:widowControl w:val="0"/>
              <w:numPr>
                <w:ilvl w:val="0"/>
                <w:numId w:val="0"/>
              </w:numPr>
              <w:wordWrap/>
              <w:overflowPunct/>
              <w:topLinePunct w:val="0"/>
              <w:bidi w:val="0"/>
              <w:spacing w:after="0" w:line="260" w:lineRule="exact"/>
              <w:rPr>
                <w:rFonts w:hint="eastAsia"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sz w:val="18"/>
                <w:szCs w:val="18"/>
                <w:lang w:val="en-US" w:eastAsia="zh-CN"/>
              </w:rPr>
              <w:t>2.</w:t>
            </w:r>
            <w:r>
              <w:rPr>
                <w:rFonts w:hint="eastAsia" w:ascii="方正仿宋_GBK" w:hAnsi="方正仿宋_GBK" w:eastAsia="方正仿宋_GBK" w:cs="方正仿宋_GBK"/>
                <w:color w:val="000000"/>
                <w:sz w:val="18"/>
                <w:szCs w:val="18"/>
              </w:rPr>
              <w:t>具备3年以上专用车、商用车或装备制造行业生产管理经验，其中至少2年以上团队管理经验；</w:t>
            </w:r>
          </w:p>
          <w:p w14:paraId="4C4DA6B1">
            <w:pPr>
              <w:pStyle w:val="2"/>
              <w:keepNext w:val="0"/>
              <w:keepLines w:val="0"/>
              <w:pageBreakBefore w:val="0"/>
              <w:widowControl w:val="0"/>
              <w:numPr>
                <w:ilvl w:val="0"/>
                <w:numId w:val="0"/>
              </w:numPr>
              <w:wordWrap/>
              <w:overflowPunct/>
              <w:topLinePunct w:val="0"/>
              <w:bidi w:val="0"/>
              <w:spacing w:after="0" w:line="260" w:lineRule="exact"/>
              <w:rPr>
                <w:rFonts w:hint="eastAsia" w:ascii="方正仿宋_GBK" w:hAnsi="方正仿宋_GBK" w:eastAsia="方正仿宋_GBK" w:cs="方正仿宋_GBK"/>
                <w:sz w:val="18"/>
                <w:szCs w:val="18"/>
              </w:rPr>
            </w:pPr>
            <w:r>
              <w:rPr>
                <w:rFonts w:hint="eastAsia" w:ascii="方正仿宋_GBK" w:hAnsi="方正仿宋_GBK" w:eastAsia="方正仿宋_GBK" w:cs="方正仿宋_GBK"/>
                <w:color w:val="000000"/>
                <w:sz w:val="18"/>
                <w:szCs w:val="18"/>
                <w:lang w:val="en-US" w:eastAsia="zh-CN"/>
              </w:rPr>
              <w:t>3.</w:t>
            </w:r>
            <w:r>
              <w:rPr>
                <w:rFonts w:hint="eastAsia" w:ascii="方正仿宋_GBK" w:hAnsi="方正仿宋_GBK" w:eastAsia="方正仿宋_GBK" w:cs="方正仿宋_GBK"/>
                <w:color w:val="000000"/>
                <w:sz w:val="18"/>
                <w:szCs w:val="18"/>
              </w:rPr>
              <w:t>熟悉专用车生产工艺、生产计划与物流管理、现场安全与质量管理、精益生产等制造体系；</w:t>
            </w:r>
            <w:r>
              <w:rPr>
                <w:rFonts w:hint="eastAsia" w:ascii="方正仿宋_GBK" w:hAnsi="方正仿宋_GBK" w:eastAsia="方正仿宋_GBK" w:cs="方正仿宋_GBK"/>
                <w:color w:val="000000"/>
                <w:sz w:val="18"/>
                <w:szCs w:val="18"/>
              </w:rPr>
              <w:br w:type="textWrapping"/>
            </w:r>
            <w:r>
              <w:rPr>
                <w:rFonts w:hint="eastAsia" w:ascii="方正仿宋_GBK" w:hAnsi="方正仿宋_GBK" w:eastAsia="方正仿宋_GBK" w:cs="方正仿宋_GBK"/>
                <w:color w:val="000000"/>
                <w:sz w:val="18"/>
                <w:szCs w:val="18"/>
                <w:lang w:val="en-US" w:eastAsia="zh-CN"/>
              </w:rPr>
              <w:t>4.</w:t>
            </w:r>
            <w:r>
              <w:rPr>
                <w:rFonts w:hint="eastAsia" w:ascii="方正仿宋_GBK" w:hAnsi="方正仿宋_GBK" w:eastAsia="方正仿宋_GBK" w:cs="方正仿宋_GBK"/>
                <w:color w:val="000000"/>
                <w:sz w:val="18"/>
                <w:szCs w:val="18"/>
              </w:rPr>
              <w:t>具备出色的现场管控能力、成本控制意识、问题解决能力和团队领导力</w:t>
            </w:r>
            <w:r>
              <w:rPr>
                <w:rFonts w:hint="eastAsia" w:ascii="方正仿宋_GBK" w:hAnsi="方正仿宋_GBK" w:eastAsia="方正仿宋_GBK" w:cs="方正仿宋_GBK"/>
                <w:color w:val="000000"/>
                <w:sz w:val="18"/>
                <w:szCs w:val="18"/>
                <w:lang w:eastAsia="zh-CN"/>
              </w:rPr>
              <w:t>；</w:t>
            </w:r>
            <w:r>
              <w:rPr>
                <w:rFonts w:hint="eastAsia" w:ascii="方正仿宋_GBK" w:hAnsi="方正仿宋_GBK" w:eastAsia="方正仿宋_GBK" w:cs="方正仿宋_GBK"/>
                <w:color w:val="000000"/>
                <w:sz w:val="18"/>
                <w:szCs w:val="18"/>
                <w:lang w:eastAsia="zh-CN"/>
              </w:rPr>
              <w:br w:type="textWrapping"/>
            </w:r>
            <w:r>
              <w:rPr>
                <w:rFonts w:hint="eastAsia" w:ascii="方正仿宋_GBK" w:hAnsi="方正仿宋_GBK" w:eastAsia="方正仿宋_GBK" w:cs="方正仿宋_GBK"/>
                <w:color w:val="000000"/>
                <w:sz w:val="18"/>
                <w:szCs w:val="18"/>
                <w:lang w:val="en-US" w:eastAsia="zh-CN"/>
              </w:rPr>
              <w:t>5.</w:t>
            </w:r>
            <w:r>
              <w:rPr>
                <w:rFonts w:hint="eastAsia" w:ascii="方正仿宋_GBK" w:hAnsi="方正仿宋_GBK" w:eastAsia="方正仿宋_GBK" w:cs="方正仿宋_GBK"/>
                <w:color w:val="000000"/>
                <w:sz w:val="18"/>
                <w:szCs w:val="18"/>
              </w:rPr>
              <w:t>具备中级及以上工程师职称者或拥有大型制造企业生产管理经验者优先。</w:t>
            </w:r>
          </w:p>
        </w:tc>
        <w:tc>
          <w:tcPr>
            <w:tcW w:w="677" w:type="dxa"/>
            <w:noWrap w:val="0"/>
            <w:vAlign w:val="center"/>
          </w:tcPr>
          <w:p w14:paraId="1A405F59">
            <w:pPr>
              <w:keepNext w:val="0"/>
              <w:keepLines w:val="0"/>
              <w:pageBreakBefore w:val="0"/>
              <w:widowControl w:val="0"/>
              <w:kinsoku w:val="0"/>
              <w:wordWrap/>
              <w:overflowPunct/>
              <w:topLinePunct w:val="0"/>
              <w:autoSpaceDE w:val="0"/>
              <w:autoSpaceDN w:val="0"/>
              <w:bidi w:val="0"/>
              <w:adjustRightInd w:val="0"/>
              <w:snapToGrid w:val="0"/>
              <w:spacing w:line="240" w:lineRule="exact"/>
              <w:jc w:val="center"/>
              <w:textAlignment w:val="center"/>
              <w:rPr>
                <w:rFonts w:eastAsia="方正仿宋_GBK"/>
                <w:color w:val="000000"/>
                <w:sz w:val="20"/>
                <w:szCs w:val="20"/>
              </w:rPr>
            </w:pPr>
            <w:r>
              <w:rPr>
                <w:rFonts w:eastAsia="方正仿宋_GBK"/>
                <w:color w:val="000000"/>
                <w:sz w:val="20"/>
                <w:szCs w:val="20"/>
              </w:rPr>
              <w:t>1</w:t>
            </w:r>
            <w:r>
              <w:rPr>
                <w:rFonts w:hint="eastAsia" w:eastAsia="方正仿宋_GBK"/>
                <w:color w:val="000000"/>
                <w:sz w:val="20"/>
                <w:szCs w:val="20"/>
              </w:rPr>
              <w:t>5</w:t>
            </w:r>
            <w:r>
              <w:rPr>
                <w:rFonts w:eastAsia="方正仿宋_GBK"/>
                <w:color w:val="000000"/>
                <w:sz w:val="20"/>
                <w:szCs w:val="20"/>
              </w:rPr>
              <w:t>-1</w:t>
            </w:r>
            <w:r>
              <w:rPr>
                <w:rFonts w:hint="eastAsia" w:eastAsia="方正仿宋_GBK"/>
                <w:color w:val="000000"/>
                <w:sz w:val="20"/>
                <w:szCs w:val="20"/>
              </w:rPr>
              <w:t>7</w:t>
            </w:r>
            <w:r>
              <w:rPr>
                <w:rFonts w:eastAsia="方正仿宋_GBK"/>
                <w:color w:val="000000"/>
                <w:sz w:val="20"/>
                <w:szCs w:val="20"/>
              </w:rPr>
              <w:t>万/年</w:t>
            </w:r>
          </w:p>
        </w:tc>
      </w:tr>
      <w:tr w14:paraId="17889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143" w:hRule="atLeast"/>
          <w:jc w:val="center"/>
        </w:trPr>
        <w:tc>
          <w:tcPr>
            <w:tcW w:w="739" w:type="dxa"/>
            <w:vMerge w:val="continue"/>
            <w:noWrap w:val="0"/>
            <w:vAlign w:val="center"/>
          </w:tcPr>
          <w:p w14:paraId="77CAF3FE">
            <w:pPr>
              <w:keepNext w:val="0"/>
              <w:keepLines w:val="0"/>
              <w:pageBreakBefore w:val="0"/>
              <w:widowControl w:val="0"/>
              <w:kinsoku w:val="0"/>
              <w:wordWrap/>
              <w:overflowPunct/>
              <w:topLinePunct w:val="0"/>
              <w:autoSpaceDE w:val="0"/>
              <w:autoSpaceDN w:val="0"/>
              <w:bidi w:val="0"/>
              <w:adjustRightInd w:val="0"/>
              <w:snapToGrid w:val="0"/>
              <w:spacing w:line="240" w:lineRule="exact"/>
              <w:jc w:val="center"/>
              <w:textAlignment w:val="center"/>
              <w:rPr>
                <w:rFonts w:eastAsia="方正仿宋_GBK"/>
                <w:color w:val="000000"/>
                <w:kern w:val="0"/>
                <w:szCs w:val="21"/>
                <w:lang w:bidi="ar"/>
              </w:rPr>
            </w:pPr>
          </w:p>
        </w:tc>
        <w:tc>
          <w:tcPr>
            <w:tcW w:w="750" w:type="dxa"/>
            <w:noWrap w:val="0"/>
            <w:vAlign w:val="center"/>
          </w:tcPr>
          <w:p w14:paraId="24A50630">
            <w:pPr>
              <w:keepNext w:val="0"/>
              <w:keepLines w:val="0"/>
              <w:pageBreakBefore w:val="0"/>
              <w:widowControl w:val="0"/>
              <w:kinsoku w:val="0"/>
              <w:wordWrap/>
              <w:overflowPunct/>
              <w:topLinePunct w:val="0"/>
              <w:autoSpaceDE w:val="0"/>
              <w:autoSpaceDN w:val="0"/>
              <w:bidi w:val="0"/>
              <w:adjustRightInd w:val="0"/>
              <w:snapToGrid w:val="0"/>
              <w:spacing w:line="240" w:lineRule="exact"/>
              <w:jc w:val="center"/>
              <w:textAlignment w:val="center"/>
              <w:rPr>
                <w:rFonts w:hint="default" w:eastAsia="方正仿宋_GBK"/>
                <w:color w:val="000000"/>
                <w:kern w:val="0"/>
                <w:szCs w:val="21"/>
                <w:lang w:val="en-US" w:eastAsia="zh-CN" w:bidi="ar"/>
              </w:rPr>
            </w:pPr>
            <w:r>
              <w:rPr>
                <w:rFonts w:hint="eastAsia" w:eastAsia="方正仿宋_GBK"/>
                <w:color w:val="000000"/>
                <w:kern w:val="0"/>
                <w:szCs w:val="21"/>
                <w:lang w:val="en-US" w:eastAsia="zh-CN" w:bidi="ar"/>
              </w:rPr>
              <w:t>技能操作岗</w:t>
            </w:r>
          </w:p>
        </w:tc>
        <w:tc>
          <w:tcPr>
            <w:tcW w:w="750" w:type="dxa"/>
            <w:noWrap w:val="0"/>
            <w:vAlign w:val="center"/>
          </w:tcPr>
          <w:p w14:paraId="5DDBC4B3">
            <w:pPr>
              <w:keepNext w:val="0"/>
              <w:keepLines w:val="0"/>
              <w:pageBreakBefore w:val="0"/>
              <w:widowControl w:val="0"/>
              <w:kinsoku w:val="0"/>
              <w:wordWrap/>
              <w:overflowPunct/>
              <w:topLinePunct w:val="0"/>
              <w:autoSpaceDE w:val="0"/>
              <w:autoSpaceDN w:val="0"/>
              <w:bidi w:val="0"/>
              <w:adjustRightInd w:val="0"/>
              <w:snapToGrid w:val="0"/>
              <w:spacing w:line="240" w:lineRule="exact"/>
              <w:jc w:val="center"/>
              <w:textAlignment w:val="center"/>
              <w:rPr>
                <w:rFonts w:eastAsia="方正仿宋_GBK"/>
                <w:color w:val="000000"/>
                <w:kern w:val="0"/>
                <w:szCs w:val="21"/>
                <w:lang w:bidi="ar"/>
              </w:rPr>
            </w:pPr>
            <w:r>
              <w:rPr>
                <w:rFonts w:eastAsia="方正仿宋_GBK"/>
                <w:color w:val="000000"/>
                <w:kern w:val="0"/>
                <w:szCs w:val="21"/>
                <w:lang w:bidi="ar"/>
              </w:rPr>
              <w:t>专用车运营中心</w:t>
            </w:r>
            <w:r>
              <w:rPr>
                <w:rFonts w:hint="eastAsia" w:eastAsia="方正仿宋_GBK"/>
                <w:color w:val="000000"/>
                <w:kern w:val="0"/>
                <w:szCs w:val="21"/>
                <w:lang w:bidi="ar"/>
              </w:rPr>
              <w:t>焊工</w:t>
            </w:r>
          </w:p>
        </w:tc>
        <w:tc>
          <w:tcPr>
            <w:tcW w:w="634" w:type="dxa"/>
            <w:noWrap w:val="0"/>
            <w:vAlign w:val="center"/>
          </w:tcPr>
          <w:p w14:paraId="526AA20C">
            <w:pPr>
              <w:keepNext w:val="0"/>
              <w:keepLines w:val="0"/>
              <w:pageBreakBefore w:val="0"/>
              <w:widowControl w:val="0"/>
              <w:kinsoku w:val="0"/>
              <w:wordWrap/>
              <w:overflowPunct/>
              <w:topLinePunct w:val="0"/>
              <w:autoSpaceDE w:val="0"/>
              <w:autoSpaceDN w:val="0"/>
              <w:bidi w:val="0"/>
              <w:adjustRightInd w:val="0"/>
              <w:snapToGrid w:val="0"/>
              <w:spacing w:line="240" w:lineRule="exact"/>
              <w:jc w:val="center"/>
              <w:textAlignment w:val="center"/>
              <w:rPr>
                <w:rFonts w:hint="eastAsia" w:eastAsia="方正仿宋_GBK"/>
                <w:color w:val="000000"/>
                <w:szCs w:val="21"/>
                <w:lang w:val="en-US" w:eastAsia="zh-CN"/>
              </w:rPr>
            </w:pPr>
            <w:r>
              <w:rPr>
                <w:rFonts w:hint="eastAsia" w:eastAsia="方正仿宋_GBK"/>
                <w:color w:val="000000"/>
                <w:szCs w:val="21"/>
                <w:lang w:val="en-US" w:eastAsia="zh-CN"/>
              </w:rPr>
              <w:t>5</w:t>
            </w:r>
          </w:p>
        </w:tc>
        <w:tc>
          <w:tcPr>
            <w:tcW w:w="3860" w:type="dxa"/>
            <w:noWrap w:val="0"/>
            <w:vAlign w:val="center"/>
          </w:tcPr>
          <w:p w14:paraId="41EDE9D5">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60" w:lineRule="exact"/>
              <w:textAlignment w:val="center"/>
              <w:rPr>
                <w:rFonts w:hint="eastAsia"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sz w:val="18"/>
                <w:szCs w:val="18"/>
              </w:rPr>
              <w:t>负责专用车产品焊接加工工作，具体包括：</w:t>
            </w:r>
          </w:p>
          <w:p w14:paraId="1EEE6529">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60" w:lineRule="exact"/>
              <w:textAlignment w:val="center"/>
              <w:rPr>
                <w:rFonts w:hint="eastAsia"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sz w:val="18"/>
                <w:szCs w:val="18"/>
                <w:lang w:val="en-US" w:eastAsia="zh-CN"/>
              </w:rPr>
              <w:t>1.</w:t>
            </w:r>
            <w:r>
              <w:rPr>
                <w:rFonts w:hint="eastAsia" w:ascii="方正仿宋_GBK" w:hAnsi="方正仿宋_GBK" w:eastAsia="方正仿宋_GBK" w:cs="方正仿宋_GBK"/>
                <w:color w:val="000000"/>
                <w:sz w:val="18"/>
                <w:szCs w:val="18"/>
              </w:rPr>
              <w:t>严格遵照规范安全操作焊接、气割、起重等各类设备；</w:t>
            </w:r>
          </w:p>
          <w:p w14:paraId="6D6AD9DD">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60" w:lineRule="exact"/>
              <w:textAlignment w:val="center"/>
              <w:rPr>
                <w:rFonts w:hint="eastAsia"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sz w:val="18"/>
                <w:szCs w:val="18"/>
                <w:lang w:val="en-US" w:eastAsia="zh-CN"/>
              </w:rPr>
              <w:t>2.</w:t>
            </w:r>
            <w:r>
              <w:rPr>
                <w:rFonts w:hint="eastAsia" w:ascii="方正仿宋_GBK" w:hAnsi="方正仿宋_GBK" w:eastAsia="方正仿宋_GBK" w:cs="方正仿宋_GBK"/>
                <w:color w:val="000000"/>
                <w:sz w:val="18"/>
                <w:szCs w:val="18"/>
              </w:rPr>
              <w:t>做好设备定期检修维护并完整填写相关记录；</w:t>
            </w:r>
          </w:p>
          <w:p w14:paraId="44C1B651">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60" w:lineRule="exact"/>
              <w:textAlignment w:val="center"/>
              <w:rPr>
                <w:rFonts w:hint="eastAsia"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sz w:val="18"/>
                <w:szCs w:val="18"/>
                <w:lang w:val="en-US" w:eastAsia="zh-CN"/>
              </w:rPr>
              <w:t>3.</w:t>
            </w:r>
            <w:r>
              <w:rPr>
                <w:rFonts w:hint="eastAsia" w:ascii="方正仿宋_GBK" w:hAnsi="方正仿宋_GBK" w:eastAsia="方正仿宋_GBK" w:cs="方正仿宋_GBK"/>
                <w:color w:val="000000"/>
                <w:sz w:val="18"/>
                <w:szCs w:val="18"/>
              </w:rPr>
              <w:t>严控生产质量、落实安全生产要求；</w:t>
            </w:r>
          </w:p>
          <w:p w14:paraId="3753E6F2">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60" w:lineRule="exact"/>
              <w:textAlignment w:val="center"/>
              <w:rPr>
                <w:rFonts w:hint="eastAsia"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sz w:val="18"/>
                <w:szCs w:val="18"/>
                <w:lang w:val="en-US" w:eastAsia="zh-CN"/>
              </w:rPr>
              <w:t>4.</w:t>
            </w:r>
            <w:r>
              <w:rPr>
                <w:rFonts w:hint="eastAsia" w:ascii="方正仿宋_GBK" w:hAnsi="方正仿宋_GBK" w:eastAsia="方正仿宋_GBK" w:cs="方正仿宋_GBK"/>
                <w:color w:val="000000"/>
                <w:sz w:val="18"/>
                <w:szCs w:val="18"/>
              </w:rPr>
              <w:t>节约原材料，做好成本管控；</w:t>
            </w:r>
          </w:p>
          <w:p w14:paraId="1F09F7C4">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60" w:lineRule="exact"/>
              <w:ind w:left="0" w:leftChars="0" w:firstLine="0" w:firstLineChars="0"/>
              <w:textAlignment w:val="center"/>
              <w:rPr>
                <w:rFonts w:hint="eastAsia" w:ascii="方正仿宋_GBK" w:hAnsi="方正仿宋_GBK" w:eastAsia="方正仿宋_GBK" w:cs="方正仿宋_GBK"/>
                <w:color w:val="000000"/>
                <w:sz w:val="18"/>
                <w:szCs w:val="18"/>
                <w:lang w:eastAsia="zh-CN"/>
              </w:rPr>
            </w:pPr>
            <w:r>
              <w:rPr>
                <w:rFonts w:hint="eastAsia" w:ascii="方正仿宋_GBK" w:hAnsi="方正仿宋_GBK" w:eastAsia="方正仿宋_GBK" w:cs="方正仿宋_GBK"/>
                <w:color w:val="000000"/>
                <w:sz w:val="18"/>
                <w:szCs w:val="18"/>
                <w:lang w:val="en-US" w:eastAsia="zh-CN"/>
              </w:rPr>
              <w:t>5.</w:t>
            </w:r>
            <w:r>
              <w:rPr>
                <w:rFonts w:hint="eastAsia" w:ascii="方正仿宋_GBK" w:hAnsi="方正仿宋_GBK" w:eastAsia="方正仿宋_GBK" w:cs="方正仿宋_GBK"/>
                <w:color w:val="000000"/>
                <w:sz w:val="18"/>
                <w:szCs w:val="18"/>
              </w:rPr>
              <w:t>负责作业区域现场整理，完成领导交办的其他工作</w:t>
            </w:r>
            <w:r>
              <w:rPr>
                <w:rFonts w:hint="eastAsia" w:ascii="方正仿宋_GBK" w:hAnsi="方正仿宋_GBK" w:eastAsia="方正仿宋_GBK" w:cs="方正仿宋_GBK"/>
                <w:color w:val="000000"/>
                <w:sz w:val="18"/>
                <w:szCs w:val="18"/>
                <w:lang w:eastAsia="zh-CN"/>
              </w:rPr>
              <w:t>。</w:t>
            </w:r>
          </w:p>
        </w:tc>
        <w:tc>
          <w:tcPr>
            <w:tcW w:w="4162" w:type="dxa"/>
            <w:noWrap w:val="0"/>
            <w:vAlign w:val="center"/>
          </w:tcPr>
          <w:p w14:paraId="369D72FA">
            <w:pPr>
              <w:pStyle w:val="2"/>
              <w:keepNext w:val="0"/>
              <w:keepLines w:val="0"/>
              <w:pageBreakBefore w:val="0"/>
              <w:widowControl w:val="0"/>
              <w:wordWrap/>
              <w:overflowPunct/>
              <w:topLinePunct w:val="0"/>
              <w:bidi w:val="0"/>
              <w:spacing w:after="0" w:line="260" w:lineRule="exact"/>
              <w:rPr>
                <w:rFonts w:hint="eastAsia" w:ascii="方正仿宋_GBK" w:hAnsi="方正仿宋_GBK" w:eastAsia="方正仿宋_GBK" w:cs="方正仿宋_GBK"/>
                <w:color w:val="000000"/>
                <w:sz w:val="18"/>
                <w:szCs w:val="18"/>
                <w:lang w:eastAsia="zh-CN"/>
              </w:rPr>
            </w:pPr>
            <w:r>
              <w:rPr>
                <w:rFonts w:hint="eastAsia" w:ascii="方正仿宋_GBK" w:hAnsi="方正仿宋_GBK" w:eastAsia="方正仿宋_GBK" w:cs="方正仿宋_GBK"/>
                <w:color w:val="000000"/>
                <w:sz w:val="18"/>
                <w:szCs w:val="18"/>
              </w:rPr>
              <w:t>1.4</w:t>
            </w:r>
            <w:r>
              <w:rPr>
                <w:rFonts w:hint="eastAsia" w:ascii="方正仿宋_GBK" w:hAnsi="方正仿宋_GBK" w:eastAsia="方正仿宋_GBK" w:cs="方正仿宋_GBK"/>
                <w:color w:val="000000"/>
                <w:sz w:val="18"/>
                <w:szCs w:val="18"/>
                <w:lang w:val="en-US" w:eastAsia="zh-CN"/>
              </w:rPr>
              <w:t>0</w:t>
            </w:r>
            <w:r>
              <w:rPr>
                <w:rFonts w:hint="eastAsia" w:ascii="方正仿宋_GBK" w:hAnsi="方正仿宋_GBK" w:eastAsia="方正仿宋_GBK" w:cs="方正仿宋_GBK"/>
                <w:color w:val="000000"/>
                <w:sz w:val="18"/>
                <w:szCs w:val="18"/>
              </w:rPr>
              <w:t>周岁及以下，中专及以上学历</w:t>
            </w:r>
            <w:r>
              <w:rPr>
                <w:rFonts w:hint="eastAsia" w:ascii="方正仿宋_GBK" w:hAnsi="方正仿宋_GBK" w:eastAsia="方正仿宋_GBK" w:cs="方正仿宋_GBK"/>
                <w:color w:val="000000"/>
                <w:sz w:val="18"/>
                <w:szCs w:val="18"/>
                <w:lang w:eastAsia="zh-CN"/>
              </w:rPr>
              <w:t>；</w:t>
            </w:r>
          </w:p>
          <w:p w14:paraId="0CAC247A">
            <w:pPr>
              <w:pStyle w:val="2"/>
              <w:spacing w:after="0" w:line="260" w:lineRule="exact"/>
              <w:rPr>
                <w:rFonts w:hint="eastAsia" w:ascii="方正仿宋_GBK" w:hAnsi="方正仿宋_GBK" w:eastAsia="方正仿宋_GBK" w:cs="方正仿宋_GBK"/>
                <w:b w:val="0"/>
                <w:color w:val="000000"/>
                <w:sz w:val="18"/>
                <w:szCs w:val="18"/>
                <w:lang w:eastAsia="zh-CN"/>
              </w:rPr>
            </w:pPr>
            <w:r>
              <w:rPr>
                <w:rFonts w:hint="eastAsia" w:ascii="方正仿宋_GBK" w:hAnsi="方正仿宋_GBK" w:eastAsia="方正仿宋_GBK" w:cs="方正仿宋_GBK"/>
                <w:color w:val="000000"/>
                <w:sz w:val="18"/>
                <w:szCs w:val="18"/>
                <w:lang w:val="en-US" w:eastAsia="zh-CN"/>
              </w:rPr>
              <w:t>2.具备</w:t>
            </w:r>
            <w:r>
              <w:rPr>
                <w:rFonts w:hint="eastAsia" w:ascii="方正仿宋_GBK" w:hAnsi="方正仿宋_GBK" w:eastAsia="方正仿宋_GBK" w:cs="方正仿宋_GBK"/>
                <w:color w:val="000000"/>
                <w:sz w:val="18"/>
                <w:szCs w:val="18"/>
              </w:rPr>
              <w:t>2年以上焊接相关工作经验，持有焊工证、气割证</w:t>
            </w:r>
            <w:r>
              <w:rPr>
                <w:rFonts w:hint="eastAsia" w:ascii="方正仿宋_GBK" w:hAnsi="方正仿宋_GBK" w:eastAsia="方正仿宋_GBK" w:cs="方正仿宋_GBK"/>
                <w:b w:val="0"/>
                <w:color w:val="000000"/>
                <w:sz w:val="18"/>
                <w:szCs w:val="18"/>
                <w:lang w:eastAsia="zh-CN"/>
              </w:rPr>
              <w:t>；</w:t>
            </w:r>
          </w:p>
          <w:p w14:paraId="13465820">
            <w:pPr>
              <w:pStyle w:val="2"/>
              <w:spacing w:after="0" w:line="260" w:lineRule="exact"/>
              <w:rPr>
                <w:rFonts w:hint="eastAsia"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sz w:val="18"/>
                <w:szCs w:val="18"/>
                <w:lang w:val="en-US" w:eastAsia="zh-CN"/>
              </w:rPr>
              <w:t>3.</w:t>
            </w:r>
            <w:r>
              <w:rPr>
                <w:rFonts w:hint="eastAsia" w:ascii="方正仿宋_GBK" w:hAnsi="方正仿宋_GBK" w:eastAsia="方正仿宋_GBK" w:cs="方正仿宋_GBK"/>
                <w:color w:val="000000"/>
                <w:sz w:val="18"/>
                <w:szCs w:val="18"/>
              </w:rPr>
              <w:t>具备压力容器焊接经验者优先；</w:t>
            </w:r>
          </w:p>
          <w:p w14:paraId="1F962B00">
            <w:pPr>
              <w:pStyle w:val="2"/>
              <w:spacing w:after="0" w:line="260" w:lineRule="exact"/>
              <w:rPr>
                <w:rFonts w:hint="eastAsia"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sz w:val="18"/>
                <w:szCs w:val="18"/>
                <w:lang w:val="en-US" w:eastAsia="zh-CN"/>
              </w:rPr>
              <w:t>4.</w:t>
            </w:r>
            <w:r>
              <w:rPr>
                <w:rFonts w:hint="eastAsia" w:ascii="方正仿宋_GBK" w:hAnsi="方正仿宋_GBK" w:eastAsia="方正仿宋_GBK" w:cs="方正仿宋_GBK"/>
                <w:color w:val="000000"/>
                <w:sz w:val="18"/>
                <w:szCs w:val="18"/>
              </w:rPr>
              <w:t>熟悉公司规章制度、焊工岗位规范与焊割设备安全操作维护流程；</w:t>
            </w:r>
          </w:p>
          <w:p w14:paraId="6C7EBDD0">
            <w:pPr>
              <w:pStyle w:val="2"/>
              <w:spacing w:after="0" w:line="260" w:lineRule="exact"/>
              <w:rPr>
                <w:rFonts w:hint="eastAsia"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sz w:val="18"/>
                <w:szCs w:val="18"/>
                <w:lang w:val="en-US" w:eastAsia="zh-CN"/>
              </w:rPr>
              <w:t>5.</w:t>
            </w:r>
            <w:r>
              <w:rPr>
                <w:rFonts w:hint="eastAsia" w:ascii="方正仿宋_GBK" w:hAnsi="方正仿宋_GBK" w:eastAsia="方正仿宋_GBK" w:cs="方正仿宋_GBK"/>
                <w:color w:val="000000"/>
                <w:sz w:val="18"/>
                <w:szCs w:val="18"/>
              </w:rPr>
              <w:t>能力优秀者可适当放宽</w:t>
            </w:r>
            <w:r>
              <w:rPr>
                <w:rFonts w:hint="eastAsia" w:ascii="方正仿宋_GBK" w:hAnsi="方正仿宋_GBK" w:eastAsia="方正仿宋_GBK" w:cs="方正仿宋_GBK"/>
                <w:color w:val="000000"/>
                <w:sz w:val="18"/>
                <w:szCs w:val="18"/>
                <w:lang w:eastAsia="zh-CN"/>
              </w:rPr>
              <w:t>。</w:t>
            </w:r>
          </w:p>
        </w:tc>
        <w:tc>
          <w:tcPr>
            <w:tcW w:w="677" w:type="dxa"/>
            <w:noWrap w:val="0"/>
            <w:vAlign w:val="center"/>
          </w:tcPr>
          <w:p w14:paraId="3746B754">
            <w:pPr>
              <w:keepNext w:val="0"/>
              <w:keepLines w:val="0"/>
              <w:pageBreakBefore w:val="0"/>
              <w:widowControl w:val="0"/>
              <w:kinsoku w:val="0"/>
              <w:wordWrap/>
              <w:overflowPunct/>
              <w:topLinePunct w:val="0"/>
              <w:autoSpaceDE w:val="0"/>
              <w:autoSpaceDN w:val="0"/>
              <w:bidi w:val="0"/>
              <w:adjustRightInd w:val="0"/>
              <w:snapToGrid w:val="0"/>
              <w:spacing w:line="240" w:lineRule="exact"/>
              <w:jc w:val="center"/>
              <w:textAlignment w:val="center"/>
              <w:rPr>
                <w:rFonts w:hint="eastAsia" w:eastAsia="方正仿宋_GBK"/>
                <w:color w:val="000000"/>
                <w:sz w:val="20"/>
                <w:szCs w:val="20"/>
                <w:lang w:val="en-US" w:eastAsia="zh-CN"/>
              </w:rPr>
            </w:pPr>
            <w:r>
              <w:rPr>
                <w:rFonts w:hint="eastAsia" w:eastAsia="方正仿宋_GBK"/>
                <w:color w:val="000000"/>
                <w:sz w:val="20"/>
                <w:szCs w:val="20"/>
                <w:lang w:val="en-US" w:eastAsia="zh-CN"/>
              </w:rPr>
              <w:t>6</w:t>
            </w:r>
            <w:r>
              <w:rPr>
                <w:rFonts w:eastAsia="方正仿宋_GBK"/>
                <w:color w:val="000000"/>
                <w:sz w:val="20"/>
                <w:szCs w:val="20"/>
              </w:rPr>
              <w:t>-1</w:t>
            </w:r>
            <w:r>
              <w:rPr>
                <w:rFonts w:hint="eastAsia" w:eastAsia="方正仿宋_GBK"/>
                <w:color w:val="000000"/>
                <w:sz w:val="20"/>
                <w:szCs w:val="20"/>
                <w:lang w:val="en-US" w:eastAsia="zh-CN"/>
              </w:rPr>
              <w:t>0</w:t>
            </w:r>
            <w:r>
              <w:rPr>
                <w:rFonts w:eastAsia="方正仿宋_GBK"/>
                <w:color w:val="000000"/>
                <w:sz w:val="20"/>
                <w:szCs w:val="20"/>
              </w:rPr>
              <w:t>万/年</w:t>
            </w:r>
          </w:p>
        </w:tc>
      </w:tr>
    </w:tbl>
    <w:p w14:paraId="600E200C"/>
    <w:sectPr>
      <w:pgSz w:w="11906" w:h="16838"/>
      <w:pgMar w:top="2098" w:right="1800" w:bottom="1984"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430A38"/>
    <w:rsid w:val="5F430A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Body Text 2"/>
    <w:basedOn w:val="1"/>
    <w:unhideWhenUsed/>
    <w:qFormat/>
    <w:uiPriority w:val="99"/>
    <w:rPr>
      <w:rFonts w:ascii="宋体" w:hAnsi="宋体"/>
      <w:b/>
      <w:sz w:val="24"/>
      <w:szCs w:val="20"/>
    </w:rPr>
  </w:style>
  <w:style w:type="paragraph" w:styleId="4">
    <w:name w:val="Document Map"/>
    <w:basedOn w:val="1"/>
    <w:next w:val="1"/>
    <w:qFormat/>
    <w:uiPriority w:val="0"/>
    <w:rPr>
      <w:rFonts w:ascii="宋体" w:cs="宋体"/>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2026-09-29T08:02:00Z</dcterms:created>
  <dc:creator>携手熙 杨柴是爱</dc:creator>
  <cp:lastModifiedBy>携手熙 杨柴是爱</cp:lastModifiedBy>
  <dcterms:modified xsi:type="dcterms:W3CDTF">2026-09-29T08:03:47Z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1B012476F1614AF9B02941E7DC5CAD31_11</vt:lpwstr>
  </property>
  <property fmtid="{D5CDD505-2E9C-101B-9397-08002B2CF9AE}" pid="4" name="KSOTemplateDocerSaveRecord">
    <vt:lpwstr>eyJoZGlkIjoiNTA1YzJmMGYxYWEzZTBkNWI0OTM4Y2YxMzQwZGI5NzciLCJ1c2VySWQiOiIzNDU3NzMwMTEifQ==</vt:lpwstr>
  </property>
</Properties>
</file>