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B39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附件2</w:t>
      </w:r>
    </w:p>
    <w:p w14:paraId="76C471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</w:rPr>
        <w:t>贵州省黔东南州“乐创黔东南”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 xml:space="preserve">服务机构  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  <w:t>服务事项清单</w:t>
      </w:r>
    </w:p>
    <w:p w14:paraId="73DA107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/>
        <w:rPr>
          <w:color w:val="auto"/>
        </w:rPr>
      </w:pP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661"/>
        <w:gridCol w:w="4868"/>
      </w:tblGrid>
      <w:tr w14:paraId="0260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 w14:paraId="0D2A4B7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序号</w:t>
            </w:r>
          </w:p>
        </w:tc>
        <w:tc>
          <w:tcPr>
            <w:tcW w:w="2661" w:type="dxa"/>
            <w:noWrap w:val="0"/>
            <w:vAlign w:val="top"/>
          </w:tcPr>
          <w:p w14:paraId="71B9C92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服务事项</w:t>
            </w:r>
          </w:p>
        </w:tc>
        <w:tc>
          <w:tcPr>
            <w:tcW w:w="4868" w:type="dxa"/>
            <w:noWrap w:val="0"/>
            <w:vAlign w:val="top"/>
          </w:tcPr>
          <w:p w14:paraId="67BD1AD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黑体" w:hAnsi="黑体" w:eastAsia="黑体"/>
                <w:color w:val="auto"/>
              </w:rPr>
            </w:pPr>
            <w:r>
              <w:rPr>
                <w:rFonts w:hint="eastAsia" w:ascii="黑体" w:hAnsi="黑体" w:eastAsia="黑体"/>
                <w:color w:val="auto"/>
              </w:rPr>
              <w:t>具体服务内容</w:t>
            </w:r>
          </w:p>
        </w:tc>
      </w:tr>
      <w:tr w14:paraId="5A38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 w14:paraId="0C8385B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1</w:t>
            </w:r>
          </w:p>
        </w:tc>
        <w:tc>
          <w:tcPr>
            <w:tcW w:w="2661" w:type="dxa"/>
            <w:noWrap w:val="0"/>
            <w:vAlign w:val="top"/>
          </w:tcPr>
          <w:p w14:paraId="3ADBF23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  <w:tc>
          <w:tcPr>
            <w:tcW w:w="4868" w:type="dxa"/>
            <w:noWrap w:val="0"/>
            <w:vAlign w:val="top"/>
          </w:tcPr>
          <w:p w14:paraId="23980D6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</w:tr>
      <w:tr w14:paraId="175C3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 w14:paraId="60ED409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2</w:t>
            </w:r>
          </w:p>
        </w:tc>
        <w:tc>
          <w:tcPr>
            <w:tcW w:w="2661" w:type="dxa"/>
            <w:noWrap w:val="0"/>
            <w:vAlign w:val="top"/>
          </w:tcPr>
          <w:p w14:paraId="66D11F5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  <w:tc>
          <w:tcPr>
            <w:tcW w:w="4868" w:type="dxa"/>
            <w:noWrap w:val="0"/>
            <w:vAlign w:val="top"/>
          </w:tcPr>
          <w:p w14:paraId="2DBF906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</w:tr>
      <w:tr w14:paraId="0148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 w14:paraId="4FF65BB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3</w:t>
            </w:r>
          </w:p>
        </w:tc>
        <w:tc>
          <w:tcPr>
            <w:tcW w:w="2661" w:type="dxa"/>
            <w:noWrap w:val="0"/>
            <w:vAlign w:val="top"/>
          </w:tcPr>
          <w:p w14:paraId="1E65F38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  <w:tc>
          <w:tcPr>
            <w:tcW w:w="4868" w:type="dxa"/>
            <w:noWrap w:val="0"/>
            <w:vAlign w:val="top"/>
          </w:tcPr>
          <w:p w14:paraId="4689ACE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</w:tr>
      <w:tr w14:paraId="4480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 w14:paraId="5358A33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4</w:t>
            </w:r>
          </w:p>
        </w:tc>
        <w:tc>
          <w:tcPr>
            <w:tcW w:w="2661" w:type="dxa"/>
            <w:noWrap w:val="0"/>
            <w:vAlign w:val="top"/>
          </w:tcPr>
          <w:p w14:paraId="5F3FFB1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  <w:tc>
          <w:tcPr>
            <w:tcW w:w="4868" w:type="dxa"/>
            <w:noWrap w:val="0"/>
            <w:vAlign w:val="top"/>
          </w:tcPr>
          <w:p w14:paraId="7E4A965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</w:tr>
      <w:tr w14:paraId="612E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 w14:paraId="177BAC6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5</w:t>
            </w:r>
          </w:p>
        </w:tc>
        <w:tc>
          <w:tcPr>
            <w:tcW w:w="2661" w:type="dxa"/>
            <w:noWrap w:val="0"/>
            <w:vAlign w:val="top"/>
          </w:tcPr>
          <w:p w14:paraId="72259C8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  <w:tc>
          <w:tcPr>
            <w:tcW w:w="4868" w:type="dxa"/>
            <w:noWrap w:val="0"/>
            <w:vAlign w:val="top"/>
          </w:tcPr>
          <w:p w14:paraId="14DB422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</w:tr>
      <w:tr w14:paraId="2E1CB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 w14:paraId="4C34467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宋体"/>
                <w:color w:val="auto"/>
              </w:rPr>
            </w:pPr>
            <w:r>
              <w:rPr>
                <w:rFonts w:hint="eastAsia" w:ascii="Times New Roman" w:hAnsi="Times New Roman" w:eastAsia="宋体"/>
                <w:color w:val="auto"/>
              </w:rPr>
              <w:t>……</w:t>
            </w:r>
          </w:p>
        </w:tc>
        <w:tc>
          <w:tcPr>
            <w:tcW w:w="2661" w:type="dxa"/>
            <w:noWrap w:val="0"/>
            <w:vAlign w:val="top"/>
          </w:tcPr>
          <w:p w14:paraId="662C9BE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  <w:tc>
          <w:tcPr>
            <w:tcW w:w="4868" w:type="dxa"/>
            <w:noWrap w:val="0"/>
            <w:vAlign w:val="top"/>
          </w:tcPr>
          <w:p w14:paraId="0405412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rPr>
                <w:rFonts w:ascii="Times New Roman" w:hAnsi="Times New Roman" w:eastAsia="宋体"/>
                <w:color w:val="auto"/>
              </w:rPr>
            </w:pPr>
          </w:p>
        </w:tc>
      </w:tr>
    </w:tbl>
    <w:p w14:paraId="658EE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B67C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351CE"/>
    <w:rsid w:val="1183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ind w:firstLine="20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2026-09-29T09:27:00Z</dcterms:created>
  <dc:creator>碧海精灵</dc:creator>
  <cp:lastModifiedBy>碧海精灵</cp:lastModifiedBy>
  <dcterms:modified xsi:type="dcterms:W3CDTF">2026-09-29T09:27:16Z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8F08070B390F41AABD50F305A91C9600_11</vt:lpwstr>
  </property>
  <property fmtid="{D5CDD505-2E9C-101B-9397-08002B2CF9AE}" pid="4" name="KSOTemplateDocerSaveRecord">
    <vt:lpwstr>eyJoZGlkIjoiMzY5M2VkNjI4MmExNzE2NTNkOGEzMzkzMDFkNDcwYWMiLCJ1c2VySWQiOiI1OTgzMDQ5NTYifQ==</vt:lpwstr>
  </property>
</Properties>
</file>