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E70E">
      <w:pPr>
        <w:snapToGrid w:val="0"/>
        <w:spacing w:after="120" w:line="360" w:lineRule="auto"/>
        <w:jc w:val="both"/>
        <w:rPr>
          <w:rFonts w:hint="eastAsia" w:ascii="方正小标宋简体" w:hAnsi="方正小标宋简体" w:eastAsia="方正小标宋简体"/>
          <w:bCs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/>
          <w:bCs/>
          <w:sz w:val="28"/>
          <w:szCs w:val="28"/>
          <w:lang w:val="en-US" w:eastAsia="zh-CN"/>
        </w:rPr>
        <w:t>附件</w:t>
      </w:r>
    </w:p>
    <w:p w14:paraId="2ED56B88">
      <w:pPr>
        <w:snapToGrid w:val="0"/>
        <w:spacing w:after="120" w:line="360" w:lineRule="auto"/>
        <w:jc w:val="center"/>
        <w:rPr>
          <w:rFonts w:ascii="方正小标宋简体" w:hAnsi="方正小标宋简体" w:eastAsia="方正小标宋简体"/>
          <w:bCs/>
        </w:rPr>
      </w:pPr>
      <w:r>
        <w:rPr>
          <w:rFonts w:hint="eastAsia" w:ascii="方正小标宋简体" w:hAnsi="方正小标宋简体" w:eastAsia="方正小标宋简体"/>
          <w:bCs/>
          <w:sz w:val="36"/>
          <w:szCs w:val="36"/>
        </w:rPr>
        <w:t>天府证券有限责任公司2026年招聘岗位信息表</w:t>
      </w:r>
      <w:bookmarkStart w:id="0" w:name="_GoBack"/>
      <w:bookmarkEnd w:id="0"/>
    </w:p>
    <w:tbl>
      <w:tblPr>
        <w:tblStyle w:val="3"/>
        <w:tblW w:w="14364" w:type="dxa"/>
        <w:jc w:val="center"/>
        <w:tblBorders>
          <w:top w:val="single" w:color="000000" w:sz="6" w:space="0"/>
          <w:left w:val="single" w:color="000000" w:sz="4" w:space="0"/>
          <w:bottom w:val="single" w:color="000000" w:sz="6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609"/>
        <w:gridCol w:w="1161"/>
        <w:gridCol w:w="1524"/>
        <w:gridCol w:w="670"/>
        <w:gridCol w:w="1570"/>
        <w:gridCol w:w="4360"/>
        <w:gridCol w:w="4470"/>
      </w:tblGrid>
      <w:tr w14:paraId="694963CA">
        <w:tblPrEx>
          <w:tblBorders>
            <w:top w:val="single" w:color="000000" w:sz="6" w:space="0"/>
            <w:left w:val="single" w:color="000000" w:sz="4" w:space="0"/>
            <w:bottom w:val="single" w:color="000000" w:sz="6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cantSplit/>
          <w:jc w:val="center"/>
        </w:trPr>
        <w:tc>
          <w:tcPr>
            <w:tcW w:w="609" w:type="dxa"/>
            <w:shd w:val="clear" w:color="auto" w:fill="D9D9D9"/>
            <w:vAlign w:val="center"/>
          </w:tcPr>
          <w:p w14:paraId="0A2B5EA7">
            <w:pPr>
              <w:spacing w:before="20" w:after="20" w:line="280" w:lineRule="auto"/>
              <w:jc w:val="center"/>
            </w:pPr>
            <w:r>
              <w:rPr>
                <w:rFonts w:hint="eastAsia" w:ascii="Times New Roman" w:hAnsi="Times New Roman" w:eastAsia="黑体" w:cs="Times New Roman"/>
                <w:b/>
                <w:sz w:val="18"/>
                <w:szCs w:val="18"/>
              </w:rPr>
              <w:t>序号</w:t>
            </w:r>
          </w:p>
        </w:tc>
        <w:tc>
          <w:tcPr>
            <w:tcW w:w="1161" w:type="dxa"/>
            <w:shd w:val="clear" w:color="auto" w:fill="D9D9D9"/>
            <w:vAlign w:val="center"/>
          </w:tcPr>
          <w:p w14:paraId="082653A2">
            <w:pPr>
              <w:spacing w:before="20" w:after="20" w:line="280" w:lineRule="auto"/>
              <w:jc w:val="center"/>
            </w:pPr>
            <w:r>
              <w:rPr>
                <w:rFonts w:hint="eastAsia" w:ascii="Times New Roman" w:hAnsi="Times New Roman" w:eastAsia="黑体" w:cs="Times New Roman"/>
                <w:b/>
                <w:sz w:val="18"/>
                <w:szCs w:val="18"/>
              </w:rPr>
              <w:t>部门</w:t>
            </w:r>
          </w:p>
        </w:tc>
        <w:tc>
          <w:tcPr>
            <w:tcW w:w="1524" w:type="dxa"/>
            <w:shd w:val="clear" w:color="auto" w:fill="D9D9D9"/>
            <w:vAlign w:val="center"/>
          </w:tcPr>
          <w:p w14:paraId="5C55AF72">
            <w:pPr>
              <w:spacing w:before="20" w:after="20" w:line="280" w:lineRule="auto"/>
              <w:jc w:val="center"/>
            </w:pPr>
            <w:r>
              <w:rPr>
                <w:rFonts w:hint="eastAsia" w:ascii="Times New Roman" w:hAnsi="Times New Roman" w:eastAsia="黑体" w:cs="Times New Roman"/>
                <w:b/>
                <w:sz w:val="18"/>
                <w:szCs w:val="18"/>
              </w:rPr>
              <w:t>岗位名称</w:t>
            </w:r>
          </w:p>
        </w:tc>
        <w:tc>
          <w:tcPr>
            <w:tcW w:w="670" w:type="dxa"/>
            <w:shd w:val="clear" w:color="auto" w:fill="D9D9D9"/>
            <w:vAlign w:val="center"/>
          </w:tcPr>
          <w:p w14:paraId="453307A2">
            <w:pPr>
              <w:spacing w:before="20" w:after="20" w:line="280" w:lineRule="auto"/>
              <w:jc w:val="center"/>
            </w:pPr>
            <w:r>
              <w:rPr>
                <w:rFonts w:hint="eastAsia" w:ascii="Times New Roman" w:hAnsi="Times New Roman" w:eastAsia="黑体" w:cs="Times New Roman"/>
                <w:b/>
                <w:sz w:val="18"/>
                <w:szCs w:val="18"/>
              </w:rPr>
              <w:t>需求人数</w:t>
            </w:r>
          </w:p>
        </w:tc>
        <w:tc>
          <w:tcPr>
            <w:tcW w:w="1570" w:type="dxa"/>
            <w:shd w:val="clear" w:color="auto" w:fill="D9D9D9"/>
            <w:vAlign w:val="center"/>
          </w:tcPr>
          <w:p w14:paraId="08338F9B">
            <w:pPr>
              <w:spacing w:before="20" w:after="20" w:line="280" w:lineRule="auto"/>
              <w:jc w:val="center"/>
            </w:pPr>
            <w:r>
              <w:rPr>
                <w:rFonts w:hint="eastAsia" w:ascii="Times New Roman" w:hAnsi="Times New Roman" w:eastAsia="黑体" w:cs="Times New Roman"/>
                <w:b/>
                <w:sz w:val="18"/>
                <w:szCs w:val="18"/>
              </w:rPr>
              <w:t>工作地点</w:t>
            </w:r>
          </w:p>
        </w:tc>
        <w:tc>
          <w:tcPr>
            <w:tcW w:w="4360" w:type="dxa"/>
            <w:shd w:val="clear" w:color="auto" w:fill="D9D9D9"/>
            <w:vAlign w:val="center"/>
          </w:tcPr>
          <w:p w14:paraId="3AB0946A">
            <w:pPr>
              <w:spacing w:before="20" w:after="20" w:line="280" w:lineRule="auto"/>
              <w:jc w:val="center"/>
            </w:pPr>
            <w:r>
              <w:rPr>
                <w:rFonts w:hint="eastAsia" w:ascii="Times New Roman" w:hAnsi="Times New Roman" w:eastAsia="黑体" w:cs="Times New Roman"/>
                <w:b/>
                <w:sz w:val="18"/>
                <w:szCs w:val="18"/>
              </w:rPr>
              <w:t>任职资格</w:t>
            </w:r>
          </w:p>
        </w:tc>
        <w:tc>
          <w:tcPr>
            <w:tcW w:w="4470" w:type="dxa"/>
            <w:shd w:val="clear" w:color="auto" w:fill="D9D9D9"/>
            <w:vAlign w:val="center"/>
          </w:tcPr>
          <w:p w14:paraId="724875B0">
            <w:pPr>
              <w:spacing w:before="20" w:after="20" w:line="280" w:lineRule="auto"/>
              <w:jc w:val="center"/>
            </w:pPr>
            <w:r>
              <w:rPr>
                <w:rFonts w:hint="eastAsia" w:ascii="Times New Roman" w:hAnsi="Times New Roman" w:eastAsia="黑体" w:cs="Times New Roman"/>
                <w:b/>
                <w:sz w:val="18"/>
                <w:szCs w:val="18"/>
              </w:rPr>
              <w:t>岗位职责</w:t>
            </w:r>
          </w:p>
        </w:tc>
      </w:tr>
      <w:tr w14:paraId="084E910F">
        <w:tblPrEx>
          <w:tblBorders>
            <w:top w:val="single" w:color="000000" w:sz="6" w:space="0"/>
            <w:left w:val="single" w:color="000000" w:sz="4" w:space="0"/>
            <w:bottom w:val="single" w:color="000000" w:sz="6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jc w:val="center"/>
        </w:trPr>
        <w:tc>
          <w:tcPr>
            <w:tcW w:w="609" w:type="dxa"/>
            <w:vAlign w:val="center"/>
          </w:tcPr>
          <w:p w14:paraId="365A9E47">
            <w:pPr>
              <w:spacing w:before="20" w:after="20" w:line="280" w:lineRule="auto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Times New Roman"/>
                <w:sz w:val="18"/>
                <w:szCs w:val="18"/>
              </w:rPr>
              <w:t>1</w:t>
            </w:r>
          </w:p>
        </w:tc>
        <w:tc>
          <w:tcPr>
            <w:tcW w:w="1161" w:type="dxa"/>
            <w:vMerge w:val="restart"/>
            <w:vAlign w:val="center"/>
          </w:tcPr>
          <w:p w14:paraId="0977D1F6">
            <w:pPr>
              <w:spacing w:before="20" w:after="20" w:line="280" w:lineRule="auto"/>
              <w:jc w:val="center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  <w:lang w:val="en-US" w:eastAsia="zh-CN"/>
              </w:rPr>
              <w:t>研究发展部</w:t>
            </w:r>
          </w:p>
        </w:tc>
        <w:tc>
          <w:tcPr>
            <w:tcW w:w="1524" w:type="dxa"/>
            <w:vAlign w:val="center"/>
          </w:tcPr>
          <w:p w14:paraId="7147A5F7">
            <w:pPr>
              <w:spacing w:before="20" w:after="20" w:line="280" w:lineRule="auto"/>
              <w:jc w:val="center"/>
              <w:rPr>
                <w:rFonts w:hint="default" w:ascii="仿宋" w:hAnsi="仿宋" w:eastAsia="仿宋"/>
                <w:lang w:val="en-US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  <w:lang w:val="en-US" w:eastAsia="zh-CN"/>
              </w:rPr>
              <w:t>研究发展部负责人</w:t>
            </w:r>
          </w:p>
        </w:tc>
        <w:tc>
          <w:tcPr>
            <w:tcW w:w="670" w:type="dxa"/>
            <w:vAlign w:val="center"/>
          </w:tcPr>
          <w:p w14:paraId="644F71B5">
            <w:pPr>
              <w:spacing w:before="20" w:after="20" w:line="28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570" w:type="dxa"/>
            <w:vAlign w:val="center"/>
          </w:tcPr>
          <w:p w14:paraId="04481281">
            <w:pPr>
              <w:spacing w:before="20" w:after="20" w:line="280" w:lineRule="auto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  <w:lang w:val="en-US" w:eastAsia="zh-CN"/>
              </w:rPr>
              <w:t>成都</w:t>
            </w:r>
          </w:p>
        </w:tc>
        <w:tc>
          <w:tcPr>
            <w:tcW w:w="4360" w:type="dxa"/>
            <w:vAlign w:val="center"/>
          </w:tcPr>
          <w:p w14:paraId="1DBC7CC0">
            <w:pPr>
              <w:spacing w:before="20" w:after="20" w:line="280" w:lineRule="auto"/>
              <w:jc w:val="left"/>
              <w:rPr>
                <w:rFonts w:hint="default" w:ascii="仿宋" w:hAnsi="仿宋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1.全日制本科及以上学历，经济、金融、会计、法律</w:t>
            </w:r>
            <w:r>
              <w:rPr>
                <w:rFonts w:hint="eastAsia" w:ascii="仿宋" w:hAnsi="仿宋" w:eastAsia="仿宋" w:cs="Times New Roman"/>
                <w:color w:val="auto"/>
                <w:sz w:val="18"/>
                <w:szCs w:val="18"/>
                <w:lang w:val="en-US" w:eastAsia="zh-CN"/>
              </w:rPr>
              <w:t>或</w:t>
            </w:r>
            <w:r>
              <w:rPr>
                <w:rFonts w:hint="eastAsia" w:ascii="仿宋" w:hAnsi="仿宋" w:eastAsia="仿宋" w:cs="Times New Roman"/>
                <w:color w:val="auto"/>
                <w:sz w:val="18"/>
                <w:szCs w:val="18"/>
              </w:rPr>
              <w:t>理工科（产业研究方向）</w:t>
            </w:r>
            <w:r>
              <w:rPr>
                <w:rFonts w:hint="eastAsia" w:ascii="仿宋" w:hAnsi="仿宋" w:eastAsia="仿宋" w:cs="Times New Roman"/>
                <w:color w:val="auto"/>
                <w:sz w:val="18"/>
                <w:szCs w:val="18"/>
              </w:rPr>
              <w:t>等相关专</w:t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业优先</w:t>
            </w:r>
            <w:r>
              <w:rPr>
                <w:rFonts w:hint="eastAsia" w:ascii="仿宋" w:hAnsi="仿宋" w:eastAsia="仿宋" w:cs="Times New Roman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硕士研究生</w:t>
            </w:r>
            <w:r>
              <w:rPr>
                <w:rFonts w:hint="eastAsia" w:ascii="仿宋" w:hAnsi="仿宋" w:eastAsia="仿宋" w:cs="Times New Roman"/>
                <w:sz w:val="18"/>
                <w:szCs w:val="18"/>
                <w:lang w:val="en-US" w:eastAsia="zh-CN"/>
              </w:rPr>
              <w:t>及以上学历优先；</w:t>
            </w:r>
          </w:p>
          <w:p w14:paraId="4BD3FDAD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2.具备8年以上证券、基金等持牌金融机构研究相关工作经验，其中3年以上研究团队管理经验；具有券商研究负责人经历者优先； </w:t>
            </w:r>
          </w:p>
          <w:p w14:paraId="48113434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3.入职前需具备证券从业资格，基金从业资格，证券分析师资格</w:t>
            </w:r>
            <w:r>
              <w:rPr>
                <w:rFonts w:hint="eastAsia" w:ascii="仿宋" w:hAnsi="仿宋" w:eastAsia="仿宋" w:cs="Times New Roman"/>
                <w:sz w:val="18"/>
                <w:szCs w:val="18"/>
                <w:lang w:eastAsia="zh-CN"/>
              </w:rPr>
              <w:t>；</w:t>
            </w:r>
          </w:p>
          <w:p w14:paraId="56855DE6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4.熟悉《发布证券研究报告暂行规定》《发布证券研究报告执业规范》《证券公司和证券投资基金管理公司合规管理办法》等监管规则</w:t>
            </w:r>
            <w:r>
              <w:rPr>
                <w:rFonts w:hint="eastAsia" w:ascii="仿宋" w:hAnsi="仿宋" w:eastAsia="仿宋" w:cs="Times New Roman"/>
                <w:sz w:val="18"/>
                <w:szCs w:val="18"/>
                <w:lang w:eastAsia="zh-CN"/>
              </w:rPr>
              <w:t>；</w:t>
            </w:r>
          </w:p>
          <w:p w14:paraId="179C4D53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5.具有扎实的研究功底，能够独立牵头重大课题，具备优秀的跨部门协同与资源整合能力；有西南区域政策研究或政府、国资对接经验者优先</w:t>
            </w:r>
            <w:r>
              <w:rPr>
                <w:rFonts w:hint="eastAsia" w:ascii="仿宋" w:hAnsi="仿宋" w:eastAsia="仿宋" w:cs="Times New Roman"/>
                <w:sz w:val="18"/>
                <w:szCs w:val="18"/>
                <w:lang w:eastAsia="zh-CN"/>
              </w:rPr>
              <w:t>；</w:t>
            </w:r>
          </w:p>
          <w:p w14:paraId="0350BA8B">
            <w:pPr>
              <w:spacing w:before="20" w:after="20" w:line="280" w:lineRule="auto"/>
              <w:jc w:val="left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6.品行端正，遵纪守法，无监管处罚记录，符合任职回避规定</w:t>
            </w:r>
            <w:r>
              <w:rPr>
                <w:rFonts w:hint="eastAsia" w:ascii="仿宋" w:hAnsi="仿宋" w:eastAsia="仿宋" w:cs="Times New Roman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4470" w:type="dxa"/>
            <w:vAlign w:val="center"/>
          </w:tcPr>
          <w:p w14:paraId="29D756E9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1.统筹研究发展部整体建设，制定部门发展规划与年度研究计划，对齐公司战略与集团公司产业布局； </w:t>
            </w:r>
          </w:p>
          <w:p w14:paraId="13BA240F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2.建立健全部门管理制度，落实《发布证券研究报告暂行规定》要求的专门研究部门集中统一管理机制；</w:t>
            </w:r>
          </w:p>
          <w:p w14:paraId="490C47BF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3.组建并带领研究团队，统筹宏观、策略、行业、产业研究方向的研究框架搭建与成果输出； </w:t>
            </w:r>
          </w:p>
          <w:p w14:paraId="5F57932C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4.对内服务公司战略发展、各业务线（自营、资管、固收、经纪、投行等）的研究需求，对外及对集团提供产业研究与决策支持；</w:t>
            </w:r>
          </w:p>
          <w:p w14:paraId="6DCB8757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5.对外开展西南区域政策研究、产业课题与资本市场专题研究，为政府部门、国资平台及集团提供决策咨询支持；</w:t>
            </w:r>
          </w:p>
          <w:p w14:paraId="73C4AD4F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6.牵头落实研报发布前质量控制与合规审查，执行信息隔离墙与利益冲突防范，建立市场影响评估机制，保障研究独立性与审慎性；</w:t>
            </w:r>
          </w:p>
          <w:p w14:paraId="3E338444">
            <w:pPr>
              <w:spacing w:before="20" w:after="20" w:line="280" w:lineRule="auto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7.负责部门人才梯队建设、绩效考核与合规培训。</w:t>
            </w:r>
          </w:p>
        </w:tc>
      </w:tr>
      <w:tr w14:paraId="632960FB">
        <w:tblPrEx>
          <w:tblBorders>
            <w:top w:val="single" w:color="000000" w:sz="6" w:space="0"/>
            <w:left w:val="single" w:color="000000" w:sz="4" w:space="0"/>
            <w:bottom w:val="single" w:color="000000" w:sz="6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jc w:val="center"/>
        </w:trPr>
        <w:tc>
          <w:tcPr>
            <w:tcW w:w="609" w:type="dxa"/>
            <w:vAlign w:val="center"/>
          </w:tcPr>
          <w:p w14:paraId="7B9178D1">
            <w:pPr>
              <w:spacing w:before="20" w:after="20" w:line="280" w:lineRule="auto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Times New Roman"/>
                <w:sz w:val="18"/>
                <w:szCs w:val="18"/>
              </w:rPr>
              <w:t>2</w:t>
            </w:r>
          </w:p>
        </w:tc>
        <w:tc>
          <w:tcPr>
            <w:tcW w:w="1161" w:type="dxa"/>
            <w:vMerge w:val="continue"/>
            <w:vAlign w:val="center"/>
          </w:tcPr>
          <w:p w14:paraId="4A5B6B42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24" w:type="dxa"/>
            <w:vAlign w:val="center"/>
          </w:tcPr>
          <w:p w14:paraId="2CB4AD8E">
            <w:pPr>
              <w:spacing w:before="20" w:after="20" w:line="280" w:lineRule="auto"/>
              <w:jc w:val="center"/>
              <w:rPr>
                <w:rFonts w:hint="default" w:ascii="仿宋" w:hAnsi="仿宋" w:eastAsia="仿宋"/>
                <w:lang w:val="en-US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  <w:lang w:val="en-US" w:eastAsia="zh-CN"/>
              </w:rPr>
              <w:t>研究员</w:t>
            </w:r>
          </w:p>
        </w:tc>
        <w:tc>
          <w:tcPr>
            <w:tcW w:w="670" w:type="dxa"/>
            <w:vAlign w:val="center"/>
          </w:tcPr>
          <w:p w14:paraId="54BEE08A">
            <w:pPr>
              <w:spacing w:before="20" w:after="20" w:line="280" w:lineRule="auto"/>
              <w:jc w:val="center"/>
              <w:rPr>
                <w:rFonts w:hint="default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  <w:lang w:val="en-US" w:eastAsia="zh-CN"/>
              </w:rPr>
              <w:t>3-5</w:t>
            </w:r>
          </w:p>
        </w:tc>
        <w:tc>
          <w:tcPr>
            <w:tcW w:w="1570" w:type="dxa"/>
            <w:vAlign w:val="center"/>
          </w:tcPr>
          <w:p w14:paraId="125C48D5">
            <w:pPr>
              <w:spacing w:before="20" w:after="20" w:line="280" w:lineRule="auto"/>
              <w:jc w:val="center"/>
              <w:rPr>
                <w:rFonts w:hint="eastAsia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成都</w:t>
            </w:r>
          </w:p>
        </w:tc>
        <w:tc>
          <w:tcPr>
            <w:tcW w:w="4360" w:type="dxa"/>
            <w:vAlign w:val="center"/>
          </w:tcPr>
          <w:p w14:paraId="156B7055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1.全日制本科、硕士研究生及以上学历，经济、金融、会计、统计、法律或理工科（产业研究方向）等相关专业优先。 </w:t>
            </w:r>
          </w:p>
          <w:p w14:paraId="51039799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2.具备3年及以上券商、基金、保险等持牌金融机构研究执业经历；产业研究方向可接受具有相关产业资深从业背景的人选。 </w:t>
            </w:r>
          </w:p>
          <w:p w14:paraId="0E3531F1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3.入职前需具备证券从业资格，基金从业资格，证券分析师资格。 </w:t>
            </w:r>
          </w:p>
          <w:p w14:paraId="5603ED74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4.数据处理能力、财务分析能力强，具有CPA或CFA等相关资质者优先。</w:t>
            </w:r>
          </w:p>
          <w:p w14:paraId="77E6FEC7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5.专业基础扎实，逻辑思维、文字表达与沟通能力强，熟练使用Wind、Python等投研工具者优先。 </w:t>
            </w:r>
          </w:p>
          <w:p w14:paraId="0B1F366B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6.具有宏观策略、金融行业、交通基建、能源化工、高端制造、消费等行业研究经验者优先；熟悉四川省及西部地区产业格局者优先。 </w:t>
            </w:r>
          </w:p>
          <w:p w14:paraId="643DCB74">
            <w:pPr>
              <w:spacing w:before="20" w:after="20" w:line="280" w:lineRule="auto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7.品行端正，责任心强，能承受较大工作压力，符合任职回避规定。</w:t>
            </w:r>
          </w:p>
        </w:tc>
        <w:tc>
          <w:tcPr>
            <w:tcW w:w="4470" w:type="dxa"/>
            <w:vAlign w:val="center"/>
          </w:tcPr>
          <w:p w14:paraId="26748276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1.负责特定领域（宏观、策略、行业、产业）的深度研究，构建并持续完善研究框架与数据库。 </w:t>
            </w:r>
          </w:p>
          <w:p w14:paraId="2F1431ED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2.独立或牵头撰写深度研究报告、产业研究专报、政策解读、专题研究等材料，为公司战略发展与业务线决策提供研究支持。 </w:t>
            </w:r>
          </w:p>
          <w:p w14:paraId="17F395C8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3.跟踪重点行业／产业动态，开展严谨的财务分析、商业模式研判与估值建模。 </w:t>
            </w:r>
          </w:p>
          <w:p w14:paraId="62AF6833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4.紧密对接投资经理、业务线及集团公司产业板块，提供及时、深度的研究支持。 </w:t>
            </w:r>
          </w:p>
          <w:p w14:paraId="393C5BAE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5.参与调研、路演与专家访谈，严格遵守研报发布前不得向无关人员泄露研究对象覆盖范围调整、发布时间、观点和结论等敏感信息的规定。 </w:t>
            </w:r>
          </w:p>
          <w:p w14:paraId="6EAFB435">
            <w:pPr>
              <w:spacing w:before="20" w:after="20" w:line="280" w:lineRule="auto"/>
              <w:jc w:val="left"/>
              <w:rPr>
                <w:rFonts w:hint="eastAsia"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 xml:space="preserve">6.需对署名发布的证券研究报告内容和观点负责，保证信息来源合法合规、研究结论具有合理依据。 </w:t>
            </w:r>
          </w:p>
          <w:p w14:paraId="57608973">
            <w:pPr>
              <w:spacing w:before="20" w:after="20" w:line="280" w:lineRule="auto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7.建立并妥善留存研究工作底稿（信息资料、调研纪要、分析模型等），纳入业务档案管理。</w:t>
            </w:r>
          </w:p>
        </w:tc>
      </w:tr>
    </w:tbl>
    <w:p w14:paraId="21F2F999">
      <w:pPr>
        <w:snapToGrid w:val="0"/>
        <w:spacing w:before="60" w:line="280" w:lineRule="auto"/>
        <w:ind w:firstLine="420" w:firstLineChars="200"/>
        <w:jc w:val="left"/>
      </w:pPr>
    </w:p>
    <w:sectPr>
      <w:footerReference r:id="rId3" w:type="default"/>
      <w:pgSz w:w="16838" w:h="11906" w:orient="landscape"/>
      <w:pgMar w:top="1134" w:right="720" w:bottom="1134" w:left="7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35DFD">
    <w:pPr>
      <w:jc w:val="center"/>
    </w:pPr>
    <w:r>
      <w:rPr>
        <w:rFonts w:ascii="Times New Roman" w:hAnsi="Times New Roman" w:eastAsia="宋体"/>
        <w:sz w:val="18"/>
        <w:szCs w:val="18"/>
      </w:rPr>
      <w:t>—</w:t>
    </w:r>
    <w:r>
      <w:rPr>
        <w:rFonts w:ascii="Times New Roman" w:hAnsi="Times New Roman" w:eastAsia="宋体"/>
        <w:sz w:val="18"/>
      </w:rPr>
      <w:fldChar w:fldCharType="begin"/>
    </w:r>
    <w:r>
      <w:rPr>
        <w:rFonts w:ascii="Times New Roman" w:hAnsi="Times New Roman" w:eastAsia="宋体"/>
        <w:sz w:val="18"/>
      </w:rPr>
      <w:instrText xml:space="preserve"> PAGE </w:instrText>
    </w:r>
    <w:r>
      <w:rPr>
        <w:rFonts w:ascii="Times New Roman" w:hAnsi="Times New Roman" w:eastAsia="宋体"/>
        <w:sz w:val="18"/>
      </w:rPr>
      <w:fldChar w:fldCharType="separate"/>
    </w:r>
    <w:r>
      <w:rPr>
        <w:rFonts w:ascii="Times New Roman" w:hAnsi="Times New Roman" w:eastAsia="宋体"/>
        <w:sz w:val="18"/>
        <w:szCs w:val="18"/>
      </w:rPr>
      <w:t>1</w:t>
    </w:r>
    <w:r>
      <w:rPr>
        <w:rFonts w:ascii="Times New Roman" w:hAnsi="Times New Roman" w:eastAsia="宋体"/>
        <w:sz w:val="18"/>
      </w:rPr>
      <w:fldChar w:fldCharType="end"/>
    </w:r>
    <w:r>
      <w:rPr>
        <w:rFonts w:ascii="Times New Roman" w:hAnsi="Times New Roman" w:eastAsia="宋体"/>
        <w:sz w:val="18"/>
        <w:szCs w:val="1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6AA"/>
    <w:rsid w:val="00073D71"/>
    <w:rsid w:val="00246EC6"/>
    <w:rsid w:val="00293D0C"/>
    <w:rsid w:val="003062E8"/>
    <w:rsid w:val="003303CA"/>
    <w:rsid w:val="003A6B0E"/>
    <w:rsid w:val="005A10CC"/>
    <w:rsid w:val="006D37EA"/>
    <w:rsid w:val="00965083"/>
    <w:rsid w:val="00B44213"/>
    <w:rsid w:val="00C506AA"/>
    <w:rsid w:val="00CA5ABC"/>
    <w:rsid w:val="00CB3B5E"/>
    <w:rsid w:val="02402EC0"/>
    <w:rsid w:val="033E071B"/>
    <w:rsid w:val="0A3C1656"/>
    <w:rsid w:val="0A54477F"/>
    <w:rsid w:val="0ABA1F25"/>
    <w:rsid w:val="0BC536DC"/>
    <w:rsid w:val="0C946333"/>
    <w:rsid w:val="0E3D2E6B"/>
    <w:rsid w:val="0F651D03"/>
    <w:rsid w:val="0F9C0DF1"/>
    <w:rsid w:val="0FAD3338"/>
    <w:rsid w:val="0FE432AD"/>
    <w:rsid w:val="10285E8F"/>
    <w:rsid w:val="118273C5"/>
    <w:rsid w:val="128D5725"/>
    <w:rsid w:val="13F0766E"/>
    <w:rsid w:val="15154C94"/>
    <w:rsid w:val="156C31B3"/>
    <w:rsid w:val="16905894"/>
    <w:rsid w:val="170F7B83"/>
    <w:rsid w:val="17A00489"/>
    <w:rsid w:val="17BB690A"/>
    <w:rsid w:val="17D11723"/>
    <w:rsid w:val="18D4224A"/>
    <w:rsid w:val="1BE449C5"/>
    <w:rsid w:val="1CF962EF"/>
    <w:rsid w:val="1E272107"/>
    <w:rsid w:val="1EE7A14E"/>
    <w:rsid w:val="1EEA1E45"/>
    <w:rsid w:val="241565BF"/>
    <w:rsid w:val="24DA6798"/>
    <w:rsid w:val="27547D16"/>
    <w:rsid w:val="275F60A7"/>
    <w:rsid w:val="27D711E9"/>
    <w:rsid w:val="284B6943"/>
    <w:rsid w:val="28901C9C"/>
    <w:rsid w:val="28DD6518"/>
    <w:rsid w:val="2D3E57C8"/>
    <w:rsid w:val="2D8860CB"/>
    <w:rsid w:val="2DA71974"/>
    <w:rsid w:val="2EBF19F8"/>
    <w:rsid w:val="2EFEBE47"/>
    <w:rsid w:val="2F375074"/>
    <w:rsid w:val="30110AE9"/>
    <w:rsid w:val="308829FB"/>
    <w:rsid w:val="30D540AA"/>
    <w:rsid w:val="31C908F8"/>
    <w:rsid w:val="36AB3135"/>
    <w:rsid w:val="36E716B2"/>
    <w:rsid w:val="36F303B8"/>
    <w:rsid w:val="37AA40E3"/>
    <w:rsid w:val="37DFDDF5"/>
    <w:rsid w:val="3B4D1792"/>
    <w:rsid w:val="3B6C78C7"/>
    <w:rsid w:val="3D431478"/>
    <w:rsid w:val="3E895925"/>
    <w:rsid w:val="3E912D31"/>
    <w:rsid w:val="3EB26AE9"/>
    <w:rsid w:val="3FDBAC93"/>
    <w:rsid w:val="3FF1B83B"/>
    <w:rsid w:val="404150B7"/>
    <w:rsid w:val="42210330"/>
    <w:rsid w:val="4283113D"/>
    <w:rsid w:val="44D6347B"/>
    <w:rsid w:val="46606918"/>
    <w:rsid w:val="46CD5B35"/>
    <w:rsid w:val="48C920F7"/>
    <w:rsid w:val="4990663D"/>
    <w:rsid w:val="4A5F1294"/>
    <w:rsid w:val="4BA7702D"/>
    <w:rsid w:val="4BC915D3"/>
    <w:rsid w:val="4CA97B54"/>
    <w:rsid w:val="4D3A3BC0"/>
    <w:rsid w:val="4DA97BB6"/>
    <w:rsid w:val="4E004DD5"/>
    <w:rsid w:val="4ED626E7"/>
    <w:rsid w:val="4F562C35"/>
    <w:rsid w:val="50D457E8"/>
    <w:rsid w:val="516F322C"/>
    <w:rsid w:val="518C0CD8"/>
    <w:rsid w:val="51A27EAE"/>
    <w:rsid w:val="52ED79EB"/>
    <w:rsid w:val="53A155F0"/>
    <w:rsid w:val="552349BA"/>
    <w:rsid w:val="565B7F3A"/>
    <w:rsid w:val="57BBF4B3"/>
    <w:rsid w:val="581801C9"/>
    <w:rsid w:val="581D7B9B"/>
    <w:rsid w:val="58FD7D40"/>
    <w:rsid w:val="59B1000A"/>
    <w:rsid w:val="59EF6B9D"/>
    <w:rsid w:val="5A6D60CE"/>
    <w:rsid w:val="5AC01473"/>
    <w:rsid w:val="5C9B41FC"/>
    <w:rsid w:val="5CED3FCE"/>
    <w:rsid w:val="5E587995"/>
    <w:rsid w:val="5EFF6DB8"/>
    <w:rsid w:val="5FFC8355"/>
    <w:rsid w:val="62575CE7"/>
    <w:rsid w:val="637649C5"/>
    <w:rsid w:val="63D5361B"/>
    <w:rsid w:val="645422AA"/>
    <w:rsid w:val="646E4198"/>
    <w:rsid w:val="64F61C1B"/>
    <w:rsid w:val="66361F93"/>
    <w:rsid w:val="67BF85C1"/>
    <w:rsid w:val="67FD0CCD"/>
    <w:rsid w:val="69E676CD"/>
    <w:rsid w:val="6A640932"/>
    <w:rsid w:val="6B3794AE"/>
    <w:rsid w:val="6DA63570"/>
    <w:rsid w:val="6DED1766"/>
    <w:rsid w:val="6DFFF160"/>
    <w:rsid w:val="6F2978E5"/>
    <w:rsid w:val="6F7118E2"/>
    <w:rsid w:val="6FFF9F8F"/>
    <w:rsid w:val="71000E6A"/>
    <w:rsid w:val="727C5DC6"/>
    <w:rsid w:val="72B903D2"/>
    <w:rsid w:val="742F5E2C"/>
    <w:rsid w:val="74443AE8"/>
    <w:rsid w:val="759926FC"/>
    <w:rsid w:val="772D65F7"/>
    <w:rsid w:val="77DF57FC"/>
    <w:rsid w:val="77FAB8E3"/>
    <w:rsid w:val="789F4F72"/>
    <w:rsid w:val="78E447FB"/>
    <w:rsid w:val="7AA159BD"/>
    <w:rsid w:val="7BCE12EE"/>
    <w:rsid w:val="7BCF1355"/>
    <w:rsid w:val="7BD92528"/>
    <w:rsid w:val="7BFFA93E"/>
    <w:rsid w:val="7D7D29E8"/>
    <w:rsid w:val="7D941212"/>
    <w:rsid w:val="7E3ECB8C"/>
    <w:rsid w:val="7EFD5371"/>
    <w:rsid w:val="7F5F1965"/>
    <w:rsid w:val="7F6489E6"/>
    <w:rsid w:val="7F7FB915"/>
    <w:rsid w:val="7FCDADB4"/>
    <w:rsid w:val="7FD94915"/>
    <w:rsid w:val="9CDBF1EF"/>
    <w:rsid w:val="9D3B2907"/>
    <w:rsid w:val="B7FF7CBA"/>
    <w:rsid w:val="B8FF9C41"/>
    <w:rsid w:val="BAFF8BCE"/>
    <w:rsid w:val="BBFF2A37"/>
    <w:rsid w:val="BDBD73E1"/>
    <w:rsid w:val="BF120680"/>
    <w:rsid w:val="BF7F31DD"/>
    <w:rsid w:val="C6BF6A35"/>
    <w:rsid w:val="CA5EE03D"/>
    <w:rsid w:val="DBBD76A7"/>
    <w:rsid w:val="DD59B75A"/>
    <w:rsid w:val="DF5F12B7"/>
    <w:rsid w:val="E7FFE5E8"/>
    <w:rsid w:val="EEDDC39A"/>
    <w:rsid w:val="EFCDF81A"/>
    <w:rsid w:val="F52F4676"/>
    <w:rsid w:val="F6760632"/>
    <w:rsid w:val="F77FE244"/>
    <w:rsid w:val="F7FB494B"/>
    <w:rsid w:val="FBBF82C5"/>
    <w:rsid w:val="FBED1836"/>
    <w:rsid w:val="FEF6461E"/>
    <w:rsid w:val="FFF24B07"/>
    <w:rsid w:val="FFFF0694"/>
    <w:rsid w:val="FFFF1D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Revision"/>
    <w:hidden/>
    <w:unhideWhenUsed/>
    <w:qFormat/>
    <w:uiPriority w:val="99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customStyle="1" w:styleId="6">
    <w:name w:val="ng-binding"/>
    <w:basedOn w:val="4"/>
    <w:qFormat/>
    <w:uiPriority w:val="0"/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Office_12.8.2.21549_F1E327BC-269C-435d-A152-05C5408002CA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2026-09-13T15:39:00Z</dcterms:created>
  <dc:creator>Data</dc:creator>
  <cp:lastModifiedBy>LIJUN</cp:lastModifiedBy>
  <dcterms:modified xsi:type="dcterms:W3CDTF">2026-09-23T01:28:00Z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191AC7D900D5CEDFF0B1A36A59C5AEB4_42</vt:lpwstr>
  </property>
</Properties>
</file>