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33F5FC">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000000" w:themeColor="text1"/>
          <w:sz w:val="32"/>
          <w:szCs w:val="32"/>
          <w:highlight w:val="none"/>
          <w:u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附件3：</w:t>
      </w:r>
    </w:p>
    <w:p w14:paraId="4F7A3A8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kern w:val="0"/>
          <w:sz w:val="44"/>
          <w:szCs w:val="44"/>
          <w:highlight w:val="none"/>
          <w:u w:val="none"/>
          <w:shd w:val="clear" w:color="auto" w:fill="FFFFFF"/>
          <w:lang w:val="en-US" w:eastAsia="zh-CN"/>
          <w14:textFill>
            <w14:solidFill>
              <w14:schemeClr w14:val="tx1"/>
            </w14:solidFill>
          </w14:textFill>
        </w:rPr>
      </w:pPr>
      <w:r>
        <w:rPr>
          <w:rFonts w:hint="eastAsia" w:ascii="宋体" w:hAnsi="宋体" w:eastAsia="宋体" w:cs="宋体"/>
          <w:color w:val="000000" w:themeColor="text1"/>
          <w:sz w:val="44"/>
          <w:szCs w:val="44"/>
          <w:highlight w:val="none"/>
          <w:u w:val="none"/>
          <w:lang w:val="en-US" w:eastAsia="zh-CN"/>
          <w14:textFill>
            <w14:solidFill>
              <w14:schemeClr w14:val="tx1"/>
            </w14:solidFill>
          </w14:textFill>
        </w:rPr>
        <w:t>教研业绩得分细则</w:t>
      </w:r>
    </w:p>
    <w:p w14:paraId="3AA286DE">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楷体" w:hAnsi="楷体" w:eastAsia="楷体" w:cs="宋体"/>
          <w:color w:val="000000" w:themeColor="text1"/>
          <w:kern w:val="0"/>
          <w:sz w:val="32"/>
          <w:szCs w:val="32"/>
          <w:highlight w:val="none"/>
          <w:u w:val="none"/>
          <w:shd w:val="clear" w:color="auto" w:fill="FFFFFF"/>
          <w:lang w:val="en-US" w:eastAsia="zh-CN"/>
          <w14:textFill>
            <w14:solidFill>
              <w14:schemeClr w14:val="tx1"/>
            </w14:solidFill>
          </w14:textFill>
        </w:rPr>
      </w:pPr>
    </w:p>
    <w:p w14:paraId="794E1600">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教研业绩得分上限100分。</w:t>
      </w:r>
    </w:p>
    <w:p w14:paraId="49012461">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一、在国内统一刊号（CN）的专业期刊、专业报纸上独立发表专业论文每篇加5分;出版个人学术专著[2]每部加10分。论文和专著合著的按顺序6：4或5：3：2计算分值。论文集不在学术专著之列。</w:t>
      </w:r>
    </w:p>
    <w:p w14:paraId="6FE99C2A">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论文获奖：国家级一等奖8分、国家级二等奖7分、国家级三等奖6分；省一等奖7分、省二等奖6分、省三等奖5分；市一等6分、市二等奖5分、市三等奖4分；县一等奖 5分、县二等奖4分、县三等奖3分。各级电化教育馆或教仪站组织的论文评选设置的创新奖 、展示奖、入围奖以各级一二三等奖计。（限国家各部委办,本省、本市、本县教育行政部门或教师发展中心 、宣传部社科联主办的教育教学论文评奖 。)</w:t>
      </w:r>
    </w:p>
    <w:p w14:paraId="0E02D385">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二、课堂实录、说课录像、教学设计、教学案例、教学反思、课件制作、单元作业设计等。①国家级一等奖7分，国家级二等奖6分，国家级三等奖5分；省一等奖6分，省二等奖5分，省三等奖4分；市一等奖5分，市二等奖4 分，市三等奖3分；县一等奖4分，县二等奖2分，县三等奖1分。（同一内容在县、市、省级均获奖的取最高分）  ②获得“一师一优课、一课一名师、双融双创、云教材、云课例、人人通、国家智慧教育平台、微课奖”等证书的：国家级奖4分；省级奖3分；市级奖2分；县级奖1分。本项②市级上限8分、县级上限6分。</w:t>
      </w:r>
    </w:p>
    <w:p w14:paraId="6510CF7E">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三、现场优质课比赛。国家级一等奖9分，国家级二等奖8分，国家级三等奖7分；省一等奖8分，省二等奖7分，省三等奖6分；市一等奖7分，市二等奖6分，市三等奖5分；县一等奖6分，县二等奖5分，县三等奖4分。</w:t>
      </w:r>
    </w:p>
    <w:p w14:paraId="20B44A63">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四、现场说课比赛、实验操作比赛及各项技能比赛。国家级一等奖9分，国家级二等奖8分，国家级三等奖7分；省一等奖8分，省二等奖7分，省三等奖6分； 市一等奖7分，市二等奖5分，市三等奖3分；县一等奖5分，县二等奖3分，县三等奖2分。</w:t>
      </w:r>
    </w:p>
    <w:p w14:paraId="711AF7E4">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五、现场示范课、教学经验分享。国家、省、市、县教育行政部门、教师发展中心开展的区域教研活动所执教的现场示范课、教学经验分享，所颁发的证书（没有注明获奖等级的）分别加4分、3分、2分、1分。</w:t>
      </w:r>
    </w:p>
    <w:p w14:paraId="751F5DB5">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六、学科教师指导由教育行政部门或教师发展中心举办的大型活动获团队奖 (非学生团体），或指导教师参加青年教师能力大赛 、教学技能大赛、班主任能力大赛等获指导奖的，国家级一等奖6分，国家级二等奖5分，国家级三等奖4分；省一等奖5分，省二等奖4分，省三等奖3分；市一等奖4分，市二等奖3分，市三等奖2分；县一等奖3分，县二等奖2分，县三等奖1分。（须注明指导教师姓名，否则不得分。） 本项上限10分。</w:t>
      </w:r>
    </w:p>
    <w:p w14:paraId="48175095">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七、学科教师指导学生参加省级以上奥数比赛 、科创比赛、体艺比赛等获奖，国家级得4分、省级3分。（须注明指导教师姓名，否则不得分。）本项上限7分。</w:t>
      </w:r>
    </w:p>
    <w:p w14:paraId="25CE4DCA">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八、由省、市、县教育主管部门或教师发展中心批准立项并已结题的教育教学类课题。①由国家各部委办、省、市、县教育主管部门或教师发展中心立项的课题已结题的，国家级重点（重大）课题主持人加20分，主要成员加9分；国家级一般课题主持人加18分，主要成员加8分；省重点（重大）课题主持人加16分，主要成员加7分；省一般课题主持人加14分，主要成员加6分；市重点(重大）课题主持人加10分，主要成员加5分；市一般课题主持人加8分，主要成员加4分；县重点课题主持人加7分，主要成员加3分；县一般课题主持人加5分，主要成员加2分。 ② 各级课题参与评奖的，可另行加分。国家级一等奖主持人加10分，主要成员加4.5分；国家级二等奖主持人加9分，主要成员加4分；国家级三等奖主持人加8分，主要成员加3.5分；省一等奖主持人加9分，主要成员加4分；省二等奖主持人加8分，主要成员加3.5分；省三等奖主持人加7分，主要成员加3分。市一等奖主持人加8分，主要成员加3.5分；市二等奖主持人加7分，主要成员加3分；市三等奖主持人加6分，主要成员加2.5分。县一等奖主持人加7分，主要成员加3分；县二等奖主持人加6分，主要成员加2.5分;县三等奖主持人加5分，主要成员加2分。本项主要成员①+②总得分上限10分。</w:t>
      </w:r>
    </w:p>
    <w:p w14:paraId="4B4E2E90">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九、由宣传部社科联批准立项并已结题的课题。①省市社科联批准立项的教育教学研究课题 ：省级社科一般课题结题获优秀等次的，主持人7分，主要成员4分；良好等次的主持人6分，主要成员3分；合格等次的主持人5分，主要成员2分。市级社科一般课题结题获优秀等次的 ，主持人6分，主要成员3分；良好等次的，主持人5分，主要成员2分；合格等次的，主持人4分，主要成员1分。省级社科联批准立项的教育教学重大课题或重点课题在一般课题的基础上 ，主持人另加3分、主要成员另加2分；市级社科批准立项的教育教学重大课题或重点课题在一般课题的基础上主持人另加 2分、主要成员另加1分。非教育教学研究课题不得分。本项主要成员上限5分。</w:t>
      </w:r>
    </w:p>
    <w:p w14:paraId="1971F4E1">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十、与教育教学相关的国家专利，名字列第一位的加10分，主要成员加5分。</w:t>
      </w:r>
    </w:p>
    <w:p w14:paraId="02A3DAD3">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十一、论文、课题、教学设计、课堂实录、教学案例、教学反思、课件等获奖等级认定原则以证书上的印章为准。</w:t>
      </w:r>
      <w:r>
        <w:rPr>
          <w:rFonts w:hint="default" w:ascii="Calibri" w:hAnsi="Calibri" w:eastAsia="仿宋" w:cs="Calibri"/>
          <w:color w:val="000000" w:themeColor="text1"/>
          <w:sz w:val="32"/>
          <w:szCs w:val="32"/>
          <w:highlight w:val="none"/>
          <w:u w:val="none"/>
          <w:lang w:val="en-US" w:eastAsia="zh-CN"/>
          <w14:textFill>
            <w14:solidFill>
              <w14:schemeClr w14:val="tx1"/>
            </w14:solidFill>
          </w14:textFill>
        </w:rPr>
        <w:t>①</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教育部各部门组织的全国性学术会议 、理论研讨会、学术论文评奖、课题等为国家级。</w:t>
      </w:r>
      <w:r>
        <w:rPr>
          <w:rFonts w:hint="default" w:ascii="Calibri" w:hAnsi="Calibri" w:eastAsia="仿宋" w:cs="Calibri"/>
          <w:color w:val="000000" w:themeColor="text1"/>
          <w:sz w:val="32"/>
          <w:szCs w:val="32"/>
          <w:highlight w:val="none"/>
          <w:u w:val="none"/>
          <w:lang w:val="en-US" w:eastAsia="zh-CN"/>
          <w14:textFill>
            <w14:solidFill>
              <w14:schemeClr w14:val="tx1"/>
            </w14:solidFill>
          </w14:textFill>
        </w:rPr>
        <w:t>②</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省教育厅各部门、省教育科学规划领导小组组织的活动 、评奖、课题为省级。</w:t>
      </w:r>
      <w:r>
        <w:rPr>
          <w:rFonts w:hint="default" w:ascii="Calibri" w:hAnsi="Calibri" w:eastAsia="仿宋" w:cs="Calibri"/>
          <w:color w:val="000000" w:themeColor="text1"/>
          <w:sz w:val="32"/>
          <w:szCs w:val="32"/>
          <w:highlight w:val="none"/>
          <w:u w:val="none"/>
          <w:lang w:val="en-US" w:eastAsia="zh-CN"/>
          <w14:textFill>
            <w14:solidFill>
              <w14:schemeClr w14:val="tx1"/>
            </w14:solidFill>
          </w14:textFill>
        </w:rPr>
        <w:t>③</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市教育局、市教师发展中心组织的活</w:t>
      </w:r>
      <w:bookmarkStart w:id="0" w:name="_GoBack"/>
      <w:bookmarkEnd w:id="0"/>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动 、评奖、课题为市级。</w:t>
      </w:r>
      <w:r>
        <w:rPr>
          <w:rFonts w:hint="default" w:ascii="Calibri" w:hAnsi="Calibri" w:eastAsia="仿宋" w:cs="Calibri"/>
          <w:color w:val="000000" w:themeColor="text1"/>
          <w:sz w:val="32"/>
          <w:szCs w:val="32"/>
          <w:highlight w:val="none"/>
          <w:u w:val="none"/>
          <w:lang w:val="en-US" w:eastAsia="zh-CN"/>
          <w14:textFill>
            <w14:solidFill>
              <w14:schemeClr w14:val="tx1"/>
            </w14:solidFill>
          </w14:textFill>
        </w:rPr>
        <w:t>④</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县教育局、县教师发展中心组织的活动 、评奖等为县级。</w:t>
      </w:r>
      <w:r>
        <w:rPr>
          <w:rFonts w:hint="default" w:ascii="Calibri" w:hAnsi="Calibri" w:eastAsia="仿宋" w:cs="Calibri"/>
          <w:color w:val="000000" w:themeColor="text1"/>
          <w:sz w:val="32"/>
          <w:szCs w:val="32"/>
          <w:highlight w:val="none"/>
          <w:u w:val="none"/>
          <w:lang w:val="en-US" w:eastAsia="zh-CN"/>
          <w14:textFill>
            <w14:solidFill>
              <w14:schemeClr w14:val="tx1"/>
            </w14:solidFill>
          </w14:textFill>
        </w:rPr>
        <w:t>⑤</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各级各类比赛获特等奖的均视为一等奖加分 。</w:t>
      </w:r>
      <w:r>
        <w:rPr>
          <w:rFonts w:hint="default" w:ascii="Calibri" w:hAnsi="Calibri" w:eastAsia="仿宋" w:cs="Calibri"/>
          <w:color w:val="000000" w:themeColor="text1"/>
          <w:sz w:val="32"/>
          <w:szCs w:val="32"/>
          <w:highlight w:val="none"/>
          <w:u w:val="none"/>
          <w:lang w:val="en-US" w:eastAsia="zh-CN"/>
          <w14:textFill>
            <w14:solidFill>
              <w14:schemeClr w14:val="tx1"/>
            </w14:solidFill>
          </w14:textFill>
        </w:rPr>
        <w:t>⑥</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研究课题的子课题以原立项课题级别的下一级一般课题计分。</w:t>
      </w:r>
    </w:p>
    <w:p w14:paraId="33214487">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color w:val="000000" w:themeColor="text1"/>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十二、课题、专利、论文及各项获奖证书、荣誉证书人数界定和计分方式。</w:t>
      </w:r>
      <w:r>
        <w:rPr>
          <w:rFonts w:hint="default" w:ascii="Calibri" w:hAnsi="Calibri" w:eastAsia="仿宋" w:cs="Calibri"/>
          <w:color w:val="000000" w:themeColor="text1"/>
          <w:sz w:val="32"/>
          <w:szCs w:val="32"/>
          <w:highlight w:val="none"/>
          <w:u w:val="none"/>
          <w:lang w:val="en-US" w:eastAsia="zh-CN"/>
          <w14:textFill>
            <w14:solidFill>
              <w14:schemeClr w14:val="tx1"/>
            </w14:solidFill>
          </w14:textFill>
        </w:rPr>
        <w:t>①</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课题或专利主持人限定1人，多人同列时，第一位为主持人，其他为主要成员，计分方式为1+6算。</w:t>
      </w:r>
      <w:r>
        <w:rPr>
          <w:rFonts w:hint="default" w:ascii="Calibri" w:hAnsi="Calibri" w:eastAsia="仿宋" w:cs="Calibri"/>
          <w:color w:val="000000" w:themeColor="text1"/>
          <w:sz w:val="32"/>
          <w:szCs w:val="32"/>
          <w:highlight w:val="none"/>
          <w:u w:val="none"/>
          <w:lang w:val="en-US" w:eastAsia="zh-CN"/>
          <w14:textFill>
            <w14:solidFill>
              <w14:schemeClr w14:val="tx1"/>
            </w14:solidFill>
          </w14:textFill>
        </w:rPr>
        <w:t>②</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论文及各项获奖证书、荣誉证书如出现多人，计分方式按顺序6：4或5：3：2或4:3：2:1计算分值，第五名及以后的不计分。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C57AE6"/>
    <w:rsid w:val="1E6B2A02"/>
    <w:rsid w:val="29E057D9"/>
    <w:rsid w:val="438D20D6"/>
    <w:rsid w:val="456E279E"/>
    <w:rsid w:val="5AEB5C08"/>
    <w:rsid w:val="6DFD4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2321</Words>
  <Characters>2354</Characters>
  <Lines>0</Lines>
  <Paragraphs>0</Paragraphs>
  <TotalTime>2</TotalTime>
  <ScaleCrop>false</ScaleCrop>
  <LinksUpToDate>false</LinksUpToDate>
  <CharactersWithSpaces>2378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2026-05-21T00:56:00Z</dcterms:created>
  <dc:creator>Administrator</dc:creator>
  <cp:lastModifiedBy>阿均</cp:lastModifiedBy>
  <dcterms:modified xsi:type="dcterms:W3CDTF">2026-06-22T09:08:50Z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eyJoZGlkIjoiYzllM2IyYzhkODVmZTFkOTk0NGZmZmI4YzUxYmRjNzQiLCJ1c2VySWQiOiIzMDIxODc0NjMifQ==</vt:lpwstr>
  </property>
  <property fmtid="{D5CDD505-2E9C-101B-9397-08002B2CF9AE}" pid="4" name="ICV">
    <vt:lpwstr>BE03260985F84C8F97794F8958E48D61_12</vt:lpwstr>
  </property>
</Properties>
</file>