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6E315">
      <w:pPr>
        <w:widowControl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-139700</wp:posOffset>
                </wp:positionH>
                <wp:positionV relativeFrom="paragraph">
                  <wp:posOffset>-558800</wp:posOffset>
                </wp:positionV>
                <wp:extent cx="1149985" cy="535305"/>
                <wp:effectExtent l="4445" t="4445" r="7620" b="1270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985" cy="5353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5C7911C">
                            <w:pPr>
                              <w:rPr>
                                <w:rFonts w:hint="eastAsia" w:eastAsia="黑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1pt;margin-top:-44pt;height:42.15pt;width:90.55pt;z-index:251660288;mso-width-relative:page;mso-height-relative:page;" fillcolor="#FFFFFF" filled="t" stroked="t" coordsize="21600,21600" arcsize="0.166666666666667" o:gfxdata="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3z5ti9kA&#10;AAAKAQAADwAAAAAAAAABACAAAAAiAAAAZHJzL2Rvd25yZXYueG1sUEsBAhQAFAAAAAgAh07iQAUJ&#10;xh8eAgAAVgQAAA4AAAAAAAAAAQAgAAAAKAEAAGRycy9lMm9Eb2MueG1sUEsFBgAAAAAGAAYAWQEA&#10;ALgFAAAAAA==&#10;">
                <v:path/>
                <v:fill on="t" focussize="0,0"/>
                <v:stroke color="#FFFFFF"/>
                <v:imagedata o:title=""/>
                <o:lock v:ext="edit" aspectratio="f"/>
                <v:textbox>
                  <w:txbxContent>
                    <w:p w14:paraId="45C7911C">
                      <w:pPr>
                        <w:rPr>
                          <w:rFonts w:hint="eastAsia" w:eastAsia="黑体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广州市人民政府第四届外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聘法律顾问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评价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表</w:t>
      </w:r>
    </w:p>
    <w:p w14:paraId="74E160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ind w:firstLine="280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评价对象</w:t>
      </w:r>
      <w:r>
        <w:rPr>
          <w:rFonts w:hint="eastAsia" w:ascii="仿宋_GB2312" w:hAnsi="仿宋_GB2312" w:eastAsia="仿宋_GB2312" w:cs="仿宋_GB2312"/>
          <w:sz w:val="28"/>
          <w:szCs w:val="28"/>
        </w:rPr>
        <w:t>：　　　　　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评价</w:t>
      </w:r>
      <w:r>
        <w:rPr>
          <w:rFonts w:hint="eastAsia" w:ascii="仿宋_GB2312" w:hAnsi="仿宋_GB2312" w:eastAsia="仿宋_GB2312" w:cs="仿宋_GB2312"/>
          <w:sz w:val="28"/>
          <w:szCs w:val="28"/>
        </w:rPr>
        <w:t>年度：　　　　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评价</w:t>
      </w: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月  日</w:t>
      </w:r>
      <w:r>
        <w:rPr>
          <w:rFonts w:hint="eastAsia" w:ascii="仿宋_GB2312" w:hAnsi="仿宋_GB2312" w:eastAsia="仿宋_GB2312" w:cs="仿宋_GB2312"/>
          <w:sz w:val="28"/>
          <w:szCs w:val="28"/>
        </w:rPr>
        <w:t>　　　　　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166"/>
        <w:gridCol w:w="3383"/>
        <w:gridCol w:w="776"/>
        <w:gridCol w:w="2012"/>
        <w:gridCol w:w="776"/>
      </w:tblGrid>
      <w:tr w14:paraId="54BC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noWrap w:val="0"/>
            <w:vAlign w:val="center"/>
          </w:tcPr>
          <w:p w14:paraId="6D7BA5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1166" w:type="dxa"/>
            <w:noWrap w:val="0"/>
            <w:vAlign w:val="center"/>
          </w:tcPr>
          <w:p w14:paraId="6FF35C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考核项目</w:t>
            </w:r>
          </w:p>
        </w:tc>
        <w:tc>
          <w:tcPr>
            <w:tcW w:w="3383" w:type="dxa"/>
            <w:noWrap w:val="0"/>
            <w:vAlign w:val="center"/>
          </w:tcPr>
          <w:p w14:paraId="1BAACF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考核内容</w:t>
            </w:r>
          </w:p>
        </w:tc>
        <w:tc>
          <w:tcPr>
            <w:tcW w:w="776" w:type="dxa"/>
            <w:noWrap w:val="0"/>
            <w:vAlign w:val="center"/>
          </w:tcPr>
          <w:p w14:paraId="7B4D52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分值</w:t>
            </w:r>
          </w:p>
        </w:tc>
        <w:tc>
          <w:tcPr>
            <w:tcW w:w="2012" w:type="dxa"/>
            <w:noWrap w:val="0"/>
            <w:vAlign w:val="center"/>
          </w:tcPr>
          <w:p w14:paraId="2E2C19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评</w:t>
            </w:r>
            <w:r>
              <w:rPr>
                <w:rFonts w:hint="eastAsia" w:ascii="Times New Roman" w:hAnsi="Times New Roman" w:eastAsia="宋体"/>
                <w:b/>
                <w:sz w:val="21"/>
                <w:lang w:eastAsia="zh-CN"/>
              </w:rPr>
              <w:t>价</w:t>
            </w:r>
            <w:r>
              <w:rPr>
                <w:rFonts w:ascii="Times New Roman" w:hAnsi="Times New Roman" w:eastAsia="宋体"/>
                <w:b/>
                <w:sz w:val="21"/>
              </w:rPr>
              <w:t>标准</w:t>
            </w:r>
          </w:p>
        </w:tc>
        <w:tc>
          <w:tcPr>
            <w:tcW w:w="776" w:type="dxa"/>
            <w:noWrap w:val="0"/>
            <w:vAlign w:val="center"/>
          </w:tcPr>
          <w:p w14:paraId="166E6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/>
                <w:sz w:val="21"/>
              </w:rPr>
              <w:t>得分</w:t>
            </w:r>
          </w:p>
        </w:tc>
      </w:tr>
      <w:tr w14:paraId="777E4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restart"/>
            <w:noWrap w:val="0"/>
            <w:vAlign w:val="center"/>
          </w:tcPr>
          <w:p w14:paraId="312D701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一</w:t>
            </w:r>
          </w:p>
        </w:tc>
        <w:tc>
          <w:tcPr>
            <w:tcW w:w="1166" w:type="dxa"/>
            <w:vMerge w:val="restart"/>
            <w:noWrap w:val="0"/>
            <w:vAlign w:val="center"/>
          </w:tcPr>
          <w:p w14:paraId="5D319F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政治素质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（20分）</w:t>
            </w:r>
          </w:p>
        </w:tc>
        <w:tc>
          <w:tcPr>
            <w:tcW w:w="3383" w:type="dxa"/>
            <w:noWrap w:val="0"/>
            <w:vAlign w:val="center"/>
          </w:tcPr>
          <w:p w14:paraId="09EF3C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贯彻习近平新时代中国特色社会主义思想，拥护党的理论和路线方针政策</w:t>
            </w:r>
          </w:p>
        </w:tc>
        <w:tc>
          <w:tcPr>
            <w:tcW w:w="776" w:type="dxa"/>
            <w:noWrap w:val="0"/>
            <w:vAlign w:val="center"/>
          </w:tcPr>
          <w:p w14:paraId="476B48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2012" w:type="dxa"/>
            <w:noWrap w:val="0"/>
            <w:vAlign w:val="center"/>
          </w:tcPr>
          <w:p w14:paraId="2600CB4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政治立场坚定，无不当言论</w:t>
            </w:r>
          </w:p>
        </w:tc>
        <w:tc>
          <w:tcPr>
            <w:tcW w:w="776" w:type="dxa"/>
            <w:noWrap w:val="0"/>
            <w:vAlign w:val="center"/>
          </w:tcPr>
          <w:p w14:paraId="3DA9D0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33B9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36BCDF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512A6F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1BADBB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拥护宪法、维护宪法权威，坚持中国特色社会主义法治道路</w:t>
            </w:r>
          </w:p>
        </w:tc>
        <w:tc>
          <w:tcPr>
            <w:tcW w:w="776" w:type="dxa"/>
            <w:noWrap w:val="0"/>
            <w:vAlign w:val="center"/>
          </w:tcPr>
          <w:p w14:paraId="749637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2012" w:type="dxa"/>
            <w:noWrap w:val="0"/>
            <w:vAlign w:val="center"/>
          </w:tcPr>
          <w:p w14:paraId="6282B6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无违法违纪记录</w:t>
            </w:r>
          </w:p>
        </w:tc>
        <w:tc>
          <w:tcPr>
            <w:tcW w:w="776" w:type="dxa"/>
            <w:noWrap w:val="0"/>
            <w:vAlign w:val="center"/>
          </w:tcPr>
          <w:p w14:paraId="0F7415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4CF1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1EC08AF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66BF6A8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3EDEAD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围绕市委市政府中心工作提供法律支持，服务重大决策、项目、改革</w:t>
            </w:r>
          </w:p>
        </w:tc>
        <w:tc>
          <w:tcPr>
            <w:tcW w:w="776" w:type="dxa"/>
            <w:noWrap w:val="0"/>
            <w:vAlign w:val="center"/>
          </w:tcPr>
          <w:p w14:paraId="3DC48B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2012" w:type="dxa"/>
            <w:noWrap w:val="0"/>
            <w:vAlign w:val="center"/>
          </w:tcPr>
          <w:p w14:paraId="6DEF1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主动参与重大任务</w:t>
            </w:r>
          </w:p>
        </w:tc>
        <w:tc>
          <w:tcPr>
            <w:tcW w:w="776" w:type="dxa"/>
            <w:noWrap w:val="0"/>
            <w:vAlign w:val="center"/>
          </w:tcPr>
          <w:p w14:paraId="5DDCDE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6F2C6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5F6C3A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59359B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14FA9B0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未受过刑事处罚、党纪政务处分；律师未受行政处罚、行业处分</w:t>
            </w:r>
          </w:p>
        </w:tc>
        <w:tc>
          <w:tcPr>
            <w:tcW w:w="776" w:type="dxa"/>
            <w:noWrap w:val="0"/>
            <w:vAlign w:val="center"/>
          </w:tcPr>
          <w:p w14:paraId="6562215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2012" w:type="dxa"/>
            <w:noWrap w:val="0"/>
            <w:vAlign w:val="center"/>
          </w:tcPr>
          <w:p w14:paraId="6D264C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有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处罚、</w:t>
            </w:r>
            <w:r>
              <w:rPr>
                <w:rFonts w:ascii="Times New Roman" w:hAnsi="Times New Roman" w:eastAsia="宋体"/>
                <w:b w:val="0"/>
                <w:sz w:val="21"/>
              </w:rPr>
              <w:t>处分记录本项不得分</w:t>
            </w:r>
          </w:p>
        </w:tc>
        <w:tc>
          <w:tcPr>
            <w:tcW w:w="776" w:type="dxa"/>
            <w:noWrap w:val="0"/>
            <w:vAlign w:val="center"/>
          </w:tcPr>
          <w:p w14:paraId="1ADFFC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7947F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restart"/>
            <w:noWrap w:val="0"/>
            <w:vAlign w:val="center"/>
          </w:tcPr>
          <w:p w14:paraId="7418BB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二</w:t>
            </w:r>
          </w:p>
        </w:tc>
        <w:tc>
          <w:tcPr>
            <w:tcW w:w="1166" w:type="dxa"/>
            <w:vMerge w:val="restart"/>
            <w:noWrap w:val="0"/>
            <w:vAlign w:val="center"/>
          </w:tcPr>
          <w:p w14:paraId="347F5F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工作情况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（30分）</w:t>
            </w:r>
          </w:p>
        </w:tc>
        <w:tc>
          <w:tcPr>
            <w:tcW w:w="3383" w:type="dxa"/>
            <w:noWrap w:val="0"/>
            <w:vAlign w:val="center"/>
          </w:tcPr>
          <w:p w14:paraId="37D956C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积极履行职责，保障必要履职时间，未因个人原因长期无法对接</w:t>
            </w:r>
          </w:p>
        </w:tc>
        <w:tc>
          <w:tcPr>
            <w:tcW w:w="776" w:type="dxa"/>
            <w:noWrap w:val="0"/>
            <w:vAlign w:val="center"/>
          </w:tcPr>
          <w:p w14:paraId="06A45F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2012" w:type="dxa"/>
            <w:noWrap w:val="0"/>
            <w:vAlign w:val="center"/>
          </w:tcPr>
          <w:p w14:paraId="060021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响应及时，</w:t>
            </w:r>
            <w:r>
              <w:rPr>
                <w:rFonts w:hint="eastAsia" w:ascii="Times New Roman" w:hAnsi="Times New Roman"/>
                <w:b w:val="0"/>
                <w:sz w:val="21"/>
                <w:lang w:eastAsia="zh-CN"/>
              </w:rPr>
              <w:t>不</w:t>
            </w:r>
            <w:r>
              <w:rPr>
                <w:rFonts w:ascii="Times New Roman" w:hAnsi="Times New Roman" w:eastAsia="宋体"/>
                <w:b w:val="0"/>
                <w:sz w:val="21"/>
              </w:rPr>
              <w:t>推诿</w:t>
            </w:r>
          </w:p>
        </w:tc>
        <w:tc>
          <w:tcPr>
            <w:tcW w:w="776" w:type="dxa"/>
            <w:noWrap w:val="0"/>
            <w:vAlign w:val="center"/>
          </w:tcPr>
          <w:p w14:paraId="6CFC6F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6E08C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6FE9B0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2410618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604BBA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快速响应并高效处理交办事项，认真参与会议、论证、调研等活动</w:t>
            </w:r>
          </w:p>
        </w:tc>
        <w:tc>
          <w:tcPr>
            <w:tcW w:w="776" w:type="dxa"/>
            <w:noWrap w:val="0"/>
            <w:vAlign w:val="center"/>
          </w:tcPr>
          <w:p w14:paraId="6F2E35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2012" w:type="dxa"/>
            <w:noWrap w:val="0"/>
            <w:vAlign w:val="center"/>
          </w:tcPr>
          <w:p w14:paraId="10906A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参与度高，配合度好</w:t>
            </w:r>
          </w:p>
        </w:tc>
        <w:tc>
          <w:tcPr>
            <w:tcW w:w="776" w:type="dxa"/>
            <w:noWrap w:val="0"/>
            <w:vAlign w:val="center"/>
          </w:tcPr>
          <w:p w14:paraId="6DC1BA9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41D24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31BBE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3DA8ED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49A3AF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交办事项按时完成、覆盖面广，工作成果及时提交</w:t>
            </w:r>
          </w:p>
        </w:tc>
        <w:tc>
          <w:tcPr>
            <w:tcW w:w="776" w:type="dxa"/>
            <w:noWrap w:val="0"/>
            <w:vAlign w:val="center"/>
          </w:tcPr>
          <w:p w14:paraId="049ED7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2012" w:type="dxa"/>
            <w:noWrap w:val="0"/>
            <w:vAlign w:val="center"/>
          </w:tcPr>
          <w:p w14:paraId="4E252E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按时办结率≥95%</w:t>
            </w:r>
          </w:p>
        </w:tc>
        <w:tc>
          <w:tcPr>
            <w:tcW w:w="776" w:type="dxa"/>
            <w:noWrap w:val="0"/>
            <w:vAlign w:val="center"/>
          </w:tcPr>
          <w:p w14:paraId="4FF843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3B694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restart"/>
            <w:noWrap w:val="0"/>
            <w:vAlign w:val="center"/>
          </w:tcPr>
          <w:p w14:paraId="4704C5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三</w:t>
            </w:r>
          </w:p>
        </w:tc>
        <w:tc>
          <w:tcPr>
            <w:tcW w:w="1166" w:type="dxa"/>
            <w:vMerge w:val="restart"/>
            <w:noWrap w:val="0"/>
            <w:vAlign w:val="center"/>
          </w:tcPr>
          <w:p w14:paraId="060851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履职质量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（30分）</w:t>
            </w:r>
          </w:p>
        </w:tc>
        <w:tc>
          <w:tcPr>
            <w:tcW w:w="3383" w:type="dxa"/>
            <w:noWrap w:val="0"/>
            <w:vAlign w:val="center"/>
          </w:tcPr>
          <w:p w14:paraId="39058D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具备较高法律素养，法律意见合法合规、逻辑清晰、论证充分</w:t>
            </w:r>
          </w:p>
        </w:tc>
        <w:tc>
          <w:tcPr>
            <w:tcW w:w="776" w:type="dxa"/>
            <w:noWrap w:val="0"/>
            <w:vAlign w:val="center"/>
          </w:tcPr>
          <w:p w14:paraId="3A5451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2012" w:type="dxa"/>
            <w:noWrap w:val="0"/>
            <w:vAlign w:val="center"/>
          </w:tcPr>
          <w:p w14:paraId="6897E1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意见质量高，无重大疏漏</w:t>
            </w:r>
          </w:p>
        </w:tc>
        <w:tc>
          <w:tcPr>
            <w:tcW w:w="776" w:type="dxa"/>
            <w:noWrap w:val="0"/>
            <w:vAlign w:val="center"/>
          </w:tcPr>
          <w:p w14:paraId="39EC75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74B69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2E0393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69679C3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4AED2E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在重大决策、项目、风险评估、纠纷化解中提供有效专业支持</w:t>
            </w:r>
          </w:p>
        </w:tc>
        <w:tc>
          <w:tcPr>
            <w:tcW w:w="776" w:type="dxa"/>
            <w:noWrap w:val="0"/>
            <w:vAlign w:val="center"/>
          </w:tcPr>
          <w:p w14:paraId="2F88BC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2012" w:type="dxa"/>
            <w:noWrap w:val="0"/>
            <w:vAlign w:val="center"/>
          </w:tcPr>
          <w:p w14:paraId="105A17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解决实际问题，具有可操作性</w:t>
            </w:r>
          </w:p>
        </w:tc>
        <w:tc>
          <w:tcPr>
            <w:tcW w:w="776" w:type="dxa"/>
            <w:noWrap w:val="0"/>
            <w:vAlign w:val="center"/>
          </w:tcPr>
          <w:p w14:paraId="4BA5F2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35703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2EEB84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344382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4D8C83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法律意见、建议被采纳，助力形成制度、文件或推动问题解决</w:t>
            </w:r>
          </w:p>
        </w:tc>
        <w:tc>
          <w:tcPr>
            <w:tcW w:w="776" w:type="dxa"/>
            <w:noWrap w:val="0"/>
            <w:vAlign w:val="center"/>
          </w:tcPr>
          <w:p w14:paraId="5AFACE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w="2012" w:type="dxa"/>
            <w:noWrap w:val="0"/>
            <w:vAlign w:val="center"/>
          </w:tcPr>
          <w:p w14:paraId="6B7F4F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采纳率高，成效显著</w:t>
            </w:r>
          </w:p>
        </w:tc>
        <w:tc>
          <w:tcPr>
            <w:tcW w:w="776" w:type="dxa"/>
            <w:noWrap w:val="0"/>
            <w:vAlign w:val="center"/>
          </w:tcPr>
          <w:p w14:paraId="7F97D4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30BE8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restart"/>
            <w:noWrap w:val="0"/>
            <w:vAlign w:val="center"/>
          </w:tcPr>
          <w:p w14:paraId="3F50DF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四</w:t>
            </w:r>
          </w:p>
        </w:tc>
        <w:tc>
          <w:tcPr>
            <w:tcW w:w="1166" w:type="dxa"/>
            <w:vMerge w:val="restart"/>
            <w:noWrap w:val="0"/>
            <w:vAlign w:val="center"/>
          </w:tcPr>
          <w:p w14:paraId="4092C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职业道德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（20分）</w:t>
            </w:r>
          </w:p>
        </w:tc>
        <w:tc>
          <w:tcPr>
            <w:tcW w:w="3383" w:type="dxa"/>
            <w:noWrap w:val="0"/>
            <w:vAlign w:val="center"/>
          </w:tcPr>
          <w:p w14:paraId="6B6649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工作态度严谨负责，诚实守信、沟通顺畅、客观中立</w:t>
            </w:r>
          </w:p>
        </w:tc>
        <w:tc>
          <w:tcPr>
            <w:tcW w:w="776" w:type="dxa"/>
            <w:noWrap w:val="0"/>
            <w:vAlign w:val="center"/>
          </w:tcPr>
          <w:p w14:paraId="062EE9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w="2012" w:type="dxa"/>
            <w:noWrap w:val="0"/>
            <w:vAlign w:val="center"/>
          </w:tcPr>
          <w:p w14:paraId="25AFEF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服务态度良好</w:t>
            </w:r>
          </w:p>
        </w:tc>
        <w:tc>
          <w:tcPr>
            <w:tcW w:w="776" w:type="dxa"/>
            <w:noWrap w:val="0"/>
            <w:vAlign w:val="center"/>
          </w:tcPr>
          <w:p w14:paraId="3E0199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6BBA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69EB89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10A8240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73B2EF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严格遵守保密制度，保守政府工作秘密、敏感信息</w:t>
            </w:r>
          </w:p>
        </w:tc>
        <w:tc>
          <w:tcPr>
            <w:tcW w:w="776" w:type="dxa"/>
            <w:noWrap w:val="0"/>
            <w:vAlign w:val="center"/>
          </w:tcPr>
          <w:p w14:paraId="289CB6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w="2012" w:type="dxa"/>
            <w:noWrap w:val="0"/>
            <w:vAlign w:val="center"/>
          </w:tcPr>
          <w:p w14:paraId="5DFDFC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无泄密事件</w:t>
            </w:r>
          </w:p>
        </w:tc>
        <w:tc>
          <w:tcPr>
            <w:tcW w:w="776" w:type="dxa"/>
            <w:noWrap w:val="0"/>
            <w:vAlign w:val="center"/>
          </w:tcPr>
          <w:p w14:paraId="7FBA5D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0D6FF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vMerge w:val="continue"/>
            <w:noWrap w:val="0"/>
            <w:vAlign w:val="center"/>
          </w:tcPr>
          <w:p w14:paraId="4EF315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7A532F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2061F90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廉洁履职，无谋取不正当利益、利益冲突、违规兼职等行为</w:t>
            </w:r>
          </w:p>
        </w:tc>
        <w:tc>
          <w:tcPr>
            <w:tcW w:w="776" w:type="dxa"/>
            <w:noWrap w:val="0"/>
            <w:vAlign w:val="center"/>
          </w:tcPr>
          <w:p w14:paraId="18C775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w="2012" w:type="dxa"/>
            <w:noWrap w:val="0"/>
            <w:vAlign w:val="center"/>
          </w:tcPr>
          <w:p w14:paraId="63F027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无廉洁问题</w:t>
            </w:r>
          </w:p>
        </w:tc>
        <w:tc>
          <w:tcPr>
            <w:tcW w:w="776" w:type="dxa"/>
            <w:noWrap w:val="0"/>
            <w:vAlign w:val="center"/>
          </w:tcPr>
          <w:p w14:paraId="42446D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47C62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9" w:type="dxa"/>
            <w:noWrap w:val="0"/>
            <w:vAlign w:val="center"/>
          </w:tcPr>
          <w:p w14:paraId="18655C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总分</w:t>
            </w:r>
          </w:p>
        </w:tc>
        <w:tc>
          <w:tcPr>
            <w:tcW w:w="1166" w:type="dxa"/>
            <w:noWrap w:val="0"/>
            <w:vAlign w:val="center"/>
          </w:tcPr>
          <w:p w14:paraId="5D003E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83" w:type="dxa"/>
            <w:noWrap w:val="0"/>
            <w:vAlign w:val="center"/>
          </w:tcPr>
          <w:p w14:paraId="6E0B1258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776" w:type="dxa"/>
            <w:noWrap w:val="0"/>
            <w:vAlign w:val="center"/>
          </w:tcPr>
          <w:p w14:paraId="0F10121A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w="2012" w:type="dxa"/>
            <w:noWrap w:val="0"/>
            <w:vAlign w:val="center"/>
          </w:tcPr>
          <w:p w14:paraId="247722B4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  <w:tc>
          <w:tcPr>
            <w:tcW w:w="776" w:type="dxa"/>
            <w:noWrap w:val="0"/>
            <w:vAlign w:val="center"/>
          </w:tcPr>
          <w:p w14:paraId="3FEB46EB">
            <w:pPr>
              <w:spacing w:after="0" w:line="240" w:lineRule="auto"/>
              <w:jc w:val="center"/>
              <w:rPr>
                <w:rFonts w:ascii="Times New Roman" w:hAnsi="Times New Roman" w:eastAsia="宋体"/>
                <w:b w:val="0"/>
                <w:sz w:val="21"/>
              </w:rPr>
            </w:pPr>
          </w:p>
        </w:tc>
      </w:tr>
      <w:tr w14:paraId="4DCD0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749" w:type="dxa"/>
            <w:noWrap w:val="0"/>
            <w:vAlign w:val="center"/>
          </w:tcPr>
          <w:p w14:paraId="3D508D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考核等次</w:t>
            </w:r>
          </w:p>
        </w:tc>
        <w:tc>
          <w:tcPr>
            <w:tcW w:w="8113" w:type="dxa"/>
            <w:gridSpan w:val="5"/>
            <w:noWrap w:val="0"/>
            <w:vAlign w:val="center"/>
          </w:tcPr>
          <w:p w14:paraId="1DB22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105" w:leftChars="50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□ 优秀（90分及以上）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□ 称职（70-89分）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□ 基本称职（60-69分）  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z w:val="21"/>
              </w:rPr>
              <w:t>□ 不称职（60分以下）</w:t>
            </w:r>
          </w:p>
        </w:tc>
      </w:tr>
      <w:tr w14:paraId="76D4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49" w:type="dxa"/>
            <w:noWrap w:val="0"/>
            <w:vAlign w:val="center"/>
          </w:tcPr>
          <w:p w14:paraId="44D97236">
            <w:pPr>
              <w:spacing w:after="0" w:line="240" w:lineRule="auto"/>
              <w:jc w:val="center"/>
              <w:rPr>
                <w:rFonts w:hint="eastAsia" w:ascii="Times New Roman" w:hAnsi="Times New Roman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备注</w:t>
            </w:r>
          </w:p>
        </w:tc>
        <w:tc>
          <w:tcPr>
            <w:tcW w:w="8113" w:type="dxa"/>
            <w:gridSpan w:val="5"/>
            <w:noWrap w:val="0"/>
            <w:vAlign w:val="center"/>
          </w:tcPr>
          <w:p w14:paraId="1D6F6FE7">
            <w:pPr>
              <w:spacing w:after="0" w:line="240" w:lineRule="auto"/>
              <w:jc w:val="both"/>
              <w:rPr>
                <w:rFonts w:ascii="Times New Roman" w:hAnsi="Times New Roman" w:eastAsia="宋体"/>
                <w:b w:val="0"/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（请填写具体扣分原因，如有佐证材料请提供）</w:t>
            </w:r>
          </w:p>
        </w:tc>
      </w:tr>
    </w:tbl>
    <w:p w14:paraId="26E902C3">
      <w:pPr>
        <w:rPr>
          <w:rFonts w:hint="default"/>
          <w:lang w:val="en-US" w:eastAsia="zh-CN"/>
        </w:rPr>
      </w:pPr>
    </w:p>
    <w:p w14:paraId="074B7215"/>
    <w:sectPr>
      <w:footerReference r:id="rId3" w:type="default"/>
      <w:pgSz w:w="11906" w:h="16838"/>
      <w:pgMar w:top="2154" w:right="1474" w:bottom="2154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4F21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74B5A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D74B5A">
                    <w:pPr>
                      <w:pStyle w:val="3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B5A68"/>
    <w:rsid w:val="7FD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80" w:lineRule="exact"/>
    </w:pPr>
    <w:rPr>
      <w:rFonts w:ascii="宋体" w:hAnsi="宋体"/>
      <w:w w:val="99"/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2026-09-24T08:58:00Z</dcterms:created>
  <dc:creator>Channing</dc:creator>
  <cp:lastModifiedBy>Channing</cp:lastModifiedBy>
  <dcterms:modified xsi:type="dcterms:W3CDTF">2026-09-24T08:59:15Z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D138F5E4027E4ACBBDCC7F1D8815DDB2_11</vt:lpwstr>
  </property>
  <property fmtid="{D5CDD505-2E9C-101B-9397-08002B2CF9AE}" pid="4" name="KSOTemplateDocerSaveRecord">
    <vt:lpwstr>eyJoZGlkIjoiMmRiZDAxZjRhYjNkZTA1NWMzMWU4NWVhNzU5NmVlZjYiLCJ1c2VySWQiOiI3MDIwODM4NjMifQ==</vt:lpwstr>
  </property>
</Properties>
</file>