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36B4B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25" w:lineRule="atLeast"/>
        <w:ind w:left="0" w:right="0" w:firstLine="0"/>
        <w:jc w:val="center"/>
        <w:rPr>
          <w:rFonts w:ascii="微软雅黑" w:hAnsi="微软雅黑" w:eastAsia="微软雅黑" w:cs="微软雅黑"/>
          <w:i w:val="0"/>
          <w:iCs w:val="0"/>
          <w:caps w:val="0"/>
          <w:color w:val="1966A7"/>
          <w:spacing w:val="0"/>
          <w:sz w:val="36"/>
          <w:szCs w:val="36"/>
          <w:u w:val="none"/>
        </w:rPr>
      </w:pPr>
      <w:r>
        <w:rPr>
          <w:rFonts w:hint="eastAsia" w:ascii="微软雅黑" w:hAnsi="微软雅黑" w:eastAsia="微软雅黑" w:cs="微软雅黑"/>
          <w:i w:val="0"/>
          <w:iCs w:val="0"/>
          <w:caps w:val="0"/>
          <w:color w:val="1966A7"/>
          <w:spacing w:val="0"/>
          <w:kern w:val="0"/>
          <w:sz w:val="36"/>
          <w:szCs w:val="36"/>
          <w:u w:val="none"/>
          <w:lang w:val="en-US" w:eastAsia="zh-CN" w:bidi="ar"/>
        </w:rPr>
        <w:t>国家卫生计生委教育部国家中医药管理局关于印发《医师资格考试报名资格规定（2014版）》的通知</w:t>
      </w:r>
    </w:p>
    <w:p w14:paraId="0ADD6B4A">
      <w:pPr>
        <w:keepNext w:val="0"/>
        <w:keepLines w:val="0"/>
        <w:widowControl/>
        <w:suppressLineNumbers w:val="0"/>
        <w:pBdr>
          <w:top w:val="none" w:color="auto" w:sz="0" w:space="0"/>
          <w:left w:val="none" w:color="auto" w:sz="0" w:space="0"/>
          <w:bottom w:val="single" w:color="E5E5E5" w:sz="6" w:space="0"/>
          <w:right w:val="none" w:color="auto" w:sz="0" w:space="0"/>
        </w:pBdr>
        <w:spacing w:before="0" w:beforeAutospacing="0" w:after="0" w:afterAutospacing="0"/>
        <w:ind w:left="0" w:right="0" w:firstLine="0"/>
        <w:jc w:val="center"/>
        <w:rPr>
          <w:rFonts w:hint="eastAsia" w:ascii="微软雅黑" w:hAnsi="微软雅黑" w:eastAsia="微软雅黑" w:cs="微软雅黑"/>
          <w:i w:val="0"/>
          <w:iCs w:val="0"/>
          <w:caps w:val="0"/>
          <w:color w:val="484848"/>
          <w:spacing w:val="0"/>
          <w:sz w:val="15"/>
          <w:szCs w:val="15"/>
          <w:u w:val="none"/>
        </w:rPr>
      </w:pPr>
      <w:r>
        <w:rPr>
          <w:rFonts w:hint="eastAsia" w:ascii="微软雅黑" w:hAnsi="微软雅黑" w:eastAsia="微软雅黑" w:cs="微软雅黑"/>
          <w:i w:val="0"/>
          <w:iCs w:val="0"/>
          <w:caps w:val="0"/>
          <w:color w:val="484848"/>
          <w:spacing w:val="0"/>
          <w:sz w:val="18"/>
          <w:szCs w:val="18"/>
          <w:u w:val="none"/>
        </w:rPr>
        <w:drawing>
          <wp:inline distT="0" distB="0" distL="114300" distR="114300">
            <wp:extent cx="228600" cy="228600"/>
            <wp:effectExtent l="0" t="0" r="0" b="0"/>
            <wp:docPr id="3" name="图片 1" descr="IMG_256">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5"/>
                    <a:stretch>
                      <a:fillRect/>
                    </a:stretch>
                  </pic:blipFill>
                  <pic:spPr>
                    <a:xfrm>
                      <a:off x="0" y="0"/>
                      <a:ext cx="228600" cy="2286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484848"/>
          <w:spacing w:val="0"/>
          <w:sz w:val="18"/>
          <w:szCs w:val="18"/>
          <w:u w:val="none"/>
        </w:rPr>
        <w:drawing>
          <wp:inline distT="0" distB="0" distL="114300" distR="114300">
            <wp:extent cx="228600" cy="228600"/>
            <wp:effectExtent l="0" t="0" r="0" b="0"/>
            <wp:docPr id="2" name="图片 2" descr="IMG_257">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6"/>
                    <a:stretch>
                      <a:fillRect/>
                    </a:stretch>
                  </pic:blipFill>
                  <pic:spPr>
                    <a:xfrm>
                      <a:off x="0" y="0"/>
                      <a:ext cx="228600" cy="228600"/>
                    </a:xfrm>
                    <a:prstGeom prst="rect">
                      <a:avLst/>
                    </a:prstGeom>
                    <a:noFill/>
                    <a:ln w="9525">
                      <a:noFill/>
                    </a:ln>
                  </pic:spPr>
                </pic:pic>
              </a:graphicData>
            </a:graphic>
          </wp:inline>
        </w:drawing>
      </w:r>
      <w:r>
        <w:rPr>
          <w:rFonts w:hint="eastAsia" w:ascii="微软雅黑" w:hAnsi="微软雅黑" w:eastAsia="微软雅黑" w:cs="微软雅黑"/>
          <w:i w:val="0"/>
          <w:iCs w:val="0"/>
          <w:caps w:val="0"/>
          <w:color w:val="484848"/>
          <w:spacing w:val="0"/>
          <w:sz w:val="18"/>
          <w:szCs w:val="18"/>
          <w:u w:val="none"/>
        </w:rPr>
        <w:drawing>
          <wp:inline distT="0" distB="0" distL="114300" distR="114300">
            <wp:extent cx="219075" cy="228600"/>
            <wp:effectExtent l="0" t="0" r="9525" b="0"/>
            <wp:docPr id="1" name="图片 3" descr="IMG_25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8"/>
                    <a:stretch>
                      <a:fillRect/>
                    </a:stretch>
                  </pic:blipFill>
                  <pic:spPr>
                    <a:xfrm>
                      <a:off x="0" y="0"/>
                      <a:ext cx="219075" cy="228600"/>
                    </a:xfrm>
                    <a:prstGeom prst="rect">
                      <a:avLst/>
                    </a:prstGeom>
                    <a:noFill/>
                    <a:ln w="9525">
                      <a:noFill/>
                    </a:ln>
                  </pic:spPr>
                </pic:pic>
              </a:graphicData>
            </a:graphic>
          </wp:inline>
        </w:drawing>
      </w:r>
    </w:p>
    <w:p w14:paraId="220BE953">
      <w:pPr>
        <w:keepNext w:val="0"/>
        <w:keepLines w:val="0"/>
        <w:widowControl/>
        <w:suppressLineNumbers w:val="0"/>
        <w:pBdr>
          <w:top w:val="none" w:color="auto" w:sz="0" w:space="0"/>
          <w:left w:val="none" w:color="auto" w:sz="0" w:space="0"/>
          <w:bottom w:val="single" w:color="E5E5E5" w:sz="6" w:space="0"/>
          <w:right w:val="none" w:color="auto" w:sz="0" w:space="0"/>
        </w:pBdr>
        <w:spacing w:before="270" w:beforeAutospacing="0" w:after="0" w:afterAutospacing="0"/>
        <w:ind w:left="0" w:right="0" w:firstLine="0"/>
        <w:jc w:val="center"/>
        <w:rPr>
          <w:rFonts w:hint="eastAsia" w:ascii="微软雅黑" w:hAnsi="微软雅黑" w:eastAsia="微软雅黑" w:cs="微软雅黑"/>
          <w:i w:val="0"/>
          <w:iCs w:val="0"/>
          <w:caps w:val="0"/>
          <w:color w:val="484848"/>
          <w:spacing w:val="0"/>
          <w:sz w:val="15"/>
          <w:szCs w:val="15"/>
          <w:u w:val="none"/>
        </w:rPr>
      </w:pPr>
      <w:r>
        <w:rPr>
          <w:rFonts w:hint="eastAsia" w:ascii="微软雅黑" w:hAnsi="微软雅黑" w:eastAsia="微软雅黑" w:cs="微软雅黑"/>
          <w:i w:val="0"/>
          <w:iCs w:val="0"/>
          <w:caps w:val="0"/>
          <w:color w:val="979797"/>
          <w:spacing w:val="0"/>
          <w:kern w:val="0"/>
          <w:sz w:val="18"/>
          <w:szCs w:val="18"/>
          <w:u w:val="none"/>
          <w:lang w:val="en-US" w:eastAsia="zh-CN" w:bidi="ar"/>
        </w:rPr>
        <w:t>发布时间： 2014-03-20 来源:</w:t>
      </w:r>
    </w:p>
    <w:p w14:paraId="713F137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ascii="Calibri" w:hAnsi="Calibri" w:cs="Calibri"/>
          <w:color w:val="484848"/>
          <w:sz w:val="21"/>
          <w:szCs w:val="21"/>
          <w:u w:val="none"/>
        </w:rPr>
      </w:pPr>
      <w:r>
        <w:rPr>
          <w:rFonts w:ascii="仿宋_GB2312" w:hAnsi="Calibri" w:eastAsia="仿宋_GB2312" w:cs="仿宋_GB2312"/>
          <w:i w:val="0"/>
          <w:iCs w:val="0"/>
          <w:caps w:val="0"/>
          <w:color w:val="484848"/>
          <w:spacing w:val="0"/>
          <w:sz w:val="28"/>
          <w:szCs w:val="28"/>
          <w:u w:val="none"/>
        </w:rPr>
        <w:t>国卫医发</w:t>
      </w:r>
      <w:r>
        <w:rPr>
          <w:rFonts w:hint="eastAsia" w:ascii="宋体" w:hAnsi="宋体" w:eastAsia="宋体" w:cs="宋体"/>
          <w:i w:val="0"/>
          <w:iCs w:val="0"/>
          <w:caps w:val="0"/>
          <w:color w:val="484848"/>
          <w:spacing w:val="0"/>
          <w:sz w:val="28"/>
          <w:szCs w:val="28"/>
          <w:u w:val="none"/>
        </w:rPr>
        <w:t>﹝</w:t>
      </w:r>
      <w:r>
        <w:rPr>
          <w:rFonts w:hint="eastAsia" w:ascii="仿宋_GB2312" w:hAnsi="Calibri" w:eastAsia="仿宋_GB2312" w:cs="仿宋_GB2312"/>
          <w:i w:val="0"/>
          <w:iCs w:val="0"/>
          <w:caps w:val="0"/>
          <w:color w:val="484848"/>
          <w:spacing w:val="0"/>
          <w:sz w:val="28"/>
          <w:szCs w:val="28"/>
          <w:u w:val="none"/>
        </w:rPr>
        <w:t>2014</w:t>
      </w:r>
      <w:r>
        <w:rPr>
          <w:rFonts w:hint="eastAsia" w:ascii="宋体" w:hAnsi="宋体" w:eastAsia="宋体" w:cs="宋体"/>
          <w:i w:val="0"/>
          <w:iCs w:val="0"/>
          <w:caps w:val="0"/>
          <w:color w:val="484848"/>
          <w:spacing w:val="0"/>
          <w:sz w:val="28"/>
          <w:szCs w:val="28"/>
          <w:u w:val="none"/>
        </w:rPr>
        <w:t>﹞</w:t>
      </w:r>
      <w:r>
        <w:rPr>
          <w:rFonts w:hint="eastAsia" w:ascii="仿宋_GB2312" w:hAnsi="Calibri" w:eastAsia="仿宋_GB2312" w:cs="仿宋_GB2312"/>
          <w:i w:val="0"/>
          <w:iCs w:val="0"/>
          <w:caps w:val="0"/>
          <w:color w:val="484848"/>
          <w:spacing w:val="0"/>
          <w:sz w:val="28"/>
          <w:szCs w:val="28"/>
          <w:u w:val="none"/>
        </w:rPr>
        <w:t>11号</w:t>
      </w:r>
    </w:p>
    <w:p w14:paraId="55C6E2C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color w:val="484848"/>
          <w:sz w:val="21"/>
          <w:szCs w:val="21"/>
          <w:u w:val="none"/>
        </w:rPr>
      </w:pPr>
      <w:r>
        <w:rPr>
          <w:rFonts w:hint="default" w:ascii="Calibri" w:hAnsi="Calibri" w:eastAsia="微软雅黑" w:cs="Calibri"/>
          <w:i w:val="0"/>
          <w:iCs w:val="0"/>
          <w:caps w:val="0"/>
          <w:color w:val="484848"/>
          <w:spacing w:val="0"/>
          <w:sz w:val="21"/>
          <w:szCs w:val="21"/>
          <w:u w:val="none"/>
        </w:rPr>
        <w:t> </w:t>
      </w:r>
    </w:p>
    <w:p w14:paraId="20A480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各省、自治区、直辖市卫生计生委（卫生厅局）、教育厅（教委）、中医药管理局，新疆生产建设兵团卫生局、教育局：</w:t>
      </w:r>
    </w:p>
    <w:p w14:paraId="1B5C835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为指导各地做好医师资格考试报名资格审核工作，严格医师资格准入，加强医师队伍建设，根据《执业医师法》等有关规定，现将《医师资格考试报名资格规定（2014版）》印发给你们，请遵照执行。</w:t>
      </w:r>
    </w:p>
    <w:p w14:paraId="1EF97FB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5"/>
        <w:jc w:val="both"/>
        <w:rPr>
          <w:rFonts w:hint="default" w:ascii="Calibri" w:hAnsi="Calibri" w:cs="Calibri"/>
          <w:color w:val="484848"/>
          <w:sz w:val="21"/>
          <w:szCs w:val="21"/>
          <w:u w:val="none"/>
        </w:rPr>
      </w:pPr>
      <w:r>
        <w:rPr>
          <w:rFonts w:hint="default" w:ascii="Calibri" w:hAnsi="Calibri" w:eastAsia="微软雅黑" w:cs="Calibri"/>
          <w:i w:val="0"/>
          <w:iCs w:val="0"/>
          <w:caps w:val="0"/>
          <w:color w:val="484848"/>
          <w:spacing w:val="0"/>
          <w:sz w:val="21"/>
          <w:szCs w:val="21"/>
          <w:u w:val="none"/>
        </w:rPr>
        <w:t> </w:t>
      </w:r>
    </w:p>
    <w:p w14:paraId="2B813B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right"/>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国家卫生计生委        教育部       国家中医药管理局</w:t>
      </w:r>
    </w:p>
    <w:p w14:paraId="59FAD5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1280" w:firstLine="645"/>
        <w:jc w:val="right"/>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2014年3月18日</w:t>
      </w:r>
    </w:p>
    <w:p w14:paraId="5DB60D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84" w:firstLine="630"/>
        <w:jc w:val="both"/>
        <w:rPr>
          <w:rFonts w:hint="default" w:ascii="Calibri" w:hAnsi="Calibri" w:cs="Calibri"/>
          <w:color w:val="484848"/>
          <w:sz w:val="21"/>
          <w:szCs w:val="21"/>
          <w:u w:val="none"/>
        </w:rPr>
      </w:pPr>
      <w:r>
        <w:rPr>
          <w:rFonts w:hint="default" w:ascii="Calibri" w:hAnsi="Calibri" w:eastAsia="微软雅黑" w:cs="Calibri"/>
          <w:i w:val="0"/>
          <w:iCs w:val="0"/>
          <w:caps w:val="0"/>
          <w:color w:val="484848"/>
          <w:spacing w:val="0"/>
          <w:sz w:val="21"/>
          <w:szCs w:val="21"/>
          <w:u w:val="none"/>
        </w:rPr>
        <w:t> </w:t>
      </w:r>
    </w:p>
    <w:p w14:paraId="3DEF0FA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84" w:firstLine="630"/>
        <w:jc w:val="both"/>
        <w:rPr>
          <w:rFonts w:hint="default" w:ascii="Calibri" w:hAnsi="Calibri" w:cs="Calibri"/>
          <w:color w:val="484848"/>
          <w:sz w:val="21"/>
          <w:szCs w:val="21"/>
          <w:u w:val="none"/>
        </w:rPr>
      </w:pPr>
      <w:r>
        <w:rPr>
          <w:rFonts w:hint="default" w:ascii="Calibri" w:hAnsi="Calibri" w:eastAsia="微软雅黑" w:cs="Calibri"/>
          <w:i w:val="0"/>
          <w:iCs w:val="0"/>
          <w:caps w:val="0"/>
          <w:color w:val="484848"/>
          <w:spacing w:val="0"/>
          <w:sz w:val="21"/>
          <w:szCs w:val="21"/>
          <w:u w:val="none"/>
        </w:rPr>
        <w:t> </w:t>
      </w:r>
    </w:p>
    <w:p w14:paraId="61EA1B6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color w:val="484848"/>
          <w:sz w:val="21"/>
          <w:szCs w:val="21"/>
          <w:u w:val="none"/>
        </w:rPr>
      </w:pPr>
      <w:r>
        <w:rPr>
          <w:rFonts w:hint="eastAsia" w:ascii="宋体" w:hAnsi="宋体" w:eastAsia="宋体" w:cs="宋体"/>
          <w:b/>
          <w:bCs/>
          <w:i w:val="0"/>
          <w:iCs w:val="0"/>
          <w:caps w:val="0"/>
          <w:color w:val="484848"/>
          <w:spacing w:val="0"/>
          <w:sz w:val="44"/>
          <w:szCs w:val="44"/>
          <w:u w:val="none"/>
        </w:rPr>
        <w:t>医师资格考试报名资格规定（2014版）</w:t>
      </w:r>
    </w:p>
    <w:p w14:paraId="3DCD277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Calibri" w:hAnsi="Calibri" w:cs="Calibri"/>
          <w:color w:val="484848"/>
          <w:sz w:val="21"/>
          <w:szCs w:val="21"/>
          <w:u w:val="none"/>
        </w:rPr>
      </w:pPr>
      <w:r>
        <w:rPr>
          <w:rFonts w:hint="default" w:ascii="Calibri" w:hAnsi="Calibri" w:eastAsia="微软雅黑" w:cs="Calibri"/>
          <w:i w:val="0"/>
          <w:iCs w:val="0"/>
          <w:caps w:val="0"/>
          <w:color w:val="484848"/>
          <w:spacing w:val="0"/>
          <w:sz w:val="21"/>
          <w:szCs w:val="21"/>
          <w:u w:val="none"/>
        </w:rPr>
        <w:t> </w:t>
      </w:r>
    </w:p>
    <w:p w14:paraId="0887887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为做好医师资格考试报名工作，依据《中华人民共和国执业医师法》（以下简称《执业医师法》）及有关规定，现对医师资格考试考生报名资格规定如下：</w:t>
      </w:r>
    </w:p>
    <w:p w14:paraId="7B3EC68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rPr>
          <w:rFonts w:hint="default" w:ascii="Calibri" w:hAnsi="Calibri" w:cs="Calibri"/>
          <w:color w:val="484848"/>
          <w:sz w:val="21"/>
          <w:szCs w:val="21"/>
          <w:u w:val="none"/>
        </w:rPr>
      </w:pPr>
      <w:r>
        <w:rPr>
          <w:rFonts w:hint="eastAsia" w:ascii="仿宋_GB2312" w:hAnsi="Calibri" w:eastAsia="仿宋_GB2312" w:cs="仿宋_GB2312"/>
          <w:b/>
          <w:bCs/>
          <w:i w:val="0"/>
          <w:iCs w:val="0"/>
          <w:caps w:val="0"/>
          <w:color w:val="484848"/>
          <w:spacing w:val="0"/>
          <w:sz w:val="32"/>
          <w:szCs w:val="32"/>
          <w:u w:val="none"/>
        </w:rPr>
        <w:t>第一条</w:t>
      </w:r>
      <w:r>
        <w:rPr>
          <w:rFonts w:hint="eastAsia" w:ascii="仿宋_GB2312" w:hAnsi="Calibri" w:eastAsia="仿宋_GB2312" w:cs="仿宋_GB2312"/>
          <w:i w:val="0"/>
          <w:iCs w:val="0"/>
          <w:caps w:val="0"/>
          <w:color w:val="484848"/>
          <w:spacing w:val="0"/>
          <w:sz w:val="32"/>
          <w:szCs w:val="32"/>
          <w:u w:val="none"/>
        </w:rPr>
        <w:t>  符合《执业医师法》、《医师资格考试暂行办法》（原卫生部令第4号）和《传统医学师承和确有专长人员医师资格考核考试办法》（原卫生部令第52号）有关规定。</w:t>
      </w:r>
    </w:p>
    <w:p w14:paraId="5D469A0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rPr>
          <w:rFonts w:hint="default" w:ascii="Calibri" w:hAnsi="Calibri" w:cs="Calibri"/>
          <w:color w:val="484848"/>
          <w:sz w:val="21"/>
          <w:szCs w:val="21"/>
          <w:u w:val="none"/>
        </w:rPr>
      </w:pPr>
      <w:r>
        <w:rPr>
          <w:rFonts w:hint="eastAsia" w:ascii="仿宋_GB2312" w:hAnsi="Calibri" w:eastAsia="仿宋_GB2312" w:cs="仿宋_GB2312"/>
          <w:b/>
          <w:bCs/>
          <w:i w:val="0"/>
          <w:iCs w:val="0"/>
          <w:caps w:val="0"/>
          <w:color w:val="484848"/>
          <w:spacing w:val="0"/>
          <w:sz w:val="32"/>
          <w:szCs w:val="32"/>
          <w:u w:val="none"/>
        </w:rPr>
        <w:t>第二条</w:t>
      </w:r>
      <w:r>
        <w:rPr>
          <w:rFonts w:hint="eastAsia" w:ascii="仿宋_GB2312" w:hAnsi="Calibri" w:eastAsia="仿宋_GB2312" w:cs="仿宋_GB2312"/>
          <w:i w:val="0"/>
          <w:iCs w:val="0"/>
          <w:caps w:val="0"/>
          <w:color w:val="484848"/>
          <w:spacing w:val="0"/>
          <w:sz w:val="32"/>
          <w:szCs w:val="32"/>
          <w:u w:val="none"/>
        </w:rPr>
        <w:t>  试用机构是指符合《执业医师法》、《医疗机构管理条例》和《医疗机构管理条例实施细则》所规定的医疗、预防、保健机构。</w:t>
      </w:r>
    </w:p>
    <w:p w14:paraId="3688213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rPr>
          <w:rFonts w:hint="default" w:ascii="Calibri" w:hAnsi="Calibri" w:cs="Calibri"/>
          <w:color w:val="484848"/>
          <w:sz w:val="21"/>
          <w:szCs w:val="21"/>
          <w:u w:val="none"/>
        </w:rPr>
      </w:pPr>
      <w:r>
        <w:rPr>
          <w:rFonts w:hint="eastAsia" w:ascii="仿宋_GB2312" w:hAnsi="Calibri" w:eastAsia="仿宋_GB2312" w:cs="仿宋_GB2312"/>
          <w:b/>
          <w:bCs/>
          <w:i w:val="0"/>
          <w:iCs w:val="0"/>
          <w:caps w:val="0"/>
          <w:color w:val="484848"/>
          <w:spacing w:val="0"/>
          <w:sz w:val="32"/>
          <w:szCs w:val="32"/>
          <w:u w:val="none"/>
        </w:rPr>
        <w:t>第三条  </w:t>
      </w:r>
      <w:r>
        <w:rPr>
          <w:rFonts w:hint="eastAsia" w:ascii="仿宋_GB2312" w:hAnsi="Calibri" w:eastAsia="仿宋_GB2312" w:cs="仿宋_GB2312"/>
          <w:i w:val="0"/>
          <w:iCs w:val="0"/>
          <w:caps w:val="0"/>
          <w:color w:val="484848"/>
          <w:spacing w:val="0"/>
          <w:sz w:val="32"/>
          <w:szCs w:val="32"/>
          <w:u w:val="none"/>
        </w:rPr>
        <w:t>试用期考核证明</w:t>
      </w:r>
    </w:p>
    <w:p w14:paraId="2438FE3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（一）报名时考生应当提交与报考类别相一致的试用期满1年并考核合格的证明。</w:t>
      </w:r>
    </w:p>
    <w:p w14:paraId="54BA24E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应届毕业生报名时应当提交试用机构出具的试用证明，并于当年8月31日前提交试用期满1年并考核合格的证明。</w:t>
      </w:r>
    </w:p>
    <w:p w14:paraId="0B7FDAB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考生报考时应当在与报考类别相一致的医疗、预防、保健机构试用时间或累计（含多个机构）试用时间满1年。</w:t>
      </w:r>
    </w:p>
    <w:p w14:paraId="0376C55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（二）现役军人必须持所在军队医疗、预防、保健机构出具的试用期考核合格证明，方可报考。</w:t>
      </w:r>
    </w:p>
    <w:p w14:paraId="399185F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（三）试用期考核合格证明当年有效。</w:t>
      </w:r>
    </w:p>
    <w:p w14:paraId="47CC5B1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rPr>
          <w:rFonts w:hint="default" w:ascii="Calibri" w:hAnsi="Calibri" w:cs="Calibri"/>
          <w:color w:val="484848"/>
          <w:sz w:val="21"/>
          <w:szCs w:val="21"/>
          <w:u w:val="none"/>
        </w:rPr>
      </w:pPr>
      <w:r>
        <w:rPr>
          <w:rFonts w:hint="eastAsia" w:ascii="仿宋_GB2312" w:hAnsi="Calibri" w:eastAsia="仿宋_GB2312" w:cs="仿宋_GB2312"/>
          <w:b/>
          <w:bCs/>
          <w:i w:val="0"/>
          <w:iCs w:val="0"/>
          <w:caps w:val="0"/>
          <w:color w:val="484848"/>
          <w:spacing w:val="0"/>
          <w:sz w:val="32"/>
          <w:szCs w:val="32"/>
          <w:u w:val="none"/>
        </w:rPr>
        <w:t>第四条  </w:t>
      </w:r>
      <w:r>
        <w:rPr>
          <w:rFonts w:hint="eastAsia" w:ascii="仿宋_GB2312" w:hAnsi="Calibri" w:eastAsia="仿宋_GB2312" w:cs="仿宋_GB2312"/>
          <w:i w:val="0"/>
          <w:iCs w:val="0"/>
          <w:caps w:val="0"/>
          <w:color w:val="484848"/>
          <w:spacing w:val="0"/>
          <w:sz w:val="32"/>
          <w:szCs w:val="32"/>
          <w:u w:val="none"/>
        </w:rPr>
        <w:t>报名有效身份证件</w:t>
      </w:r>
    </w:p>
    <w:p w14:paraId="408C7FF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一）中国大陆公民报考医师资格人员的有效身份证件为第二代居民身份证、临时身份证、军官证、警官证、文职干部证、士兵证、军队学员证；台港澳地区居民报考医师资格人员的有效身份证件为台港澳居民往来大陆通行证。</w:t>
      </w:r>
    </w:p>
    <w:p w14:paraId="7D921DA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（二）外籍人员的有效身份证件为护照。</w:t>
      </w:r>
    </w:p>
    <w:p w14:paraId="71F32A1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rPr>
          <w:rFonts w:hint="default" w:ascii="Calibri" w:hAnsi="Calibri" w:cs="Calibri"/>
          <w:color w:val="484848"/>
          <w:sz w:val="21"/>
          <w:szCs w:val="21"/>
          <w:u w:val="none"/>
        </w:rPr>
      </w:pPr>
      <w:r>
        <w:rPr>
          <w:rFonts w:hint="eastAsia" w:ascii="仿宋_GB2312" w:hAnsi="Calibri" w:eastAsia="仿宋_GB2312" w:cs="仿宋_GB2312"/>
          <w:b/>
          <w:bCs/>
          <w:i w:val="0"/>
          <w:iCs w:val="0"/>
          <w:caps w:val="0"/>
          <w:color w:val="484848"/>
          <w:spacing w:val="0"/>
          <w:sz w:val="32"/>
          <w:szCs w:val="32"/>
          <w:u w:val="none"/>
        </w:rPr>
        <w:t>第五条 </w:t>
      </w:r>
      <w:r>
        <w:rPr>
          <w:rFonts w:hint="eastAsia" w:ascii="仿宋_GB2312" w:hAnsi="Calibri" w:eastAsia="仿宋_GB2312" w:cs="仿宋_GB2312"/>
          <w:i w:val="0"/>
          <w:iCs w:val="0"/>
          <w:caps w:val="0"/>
          <w:color w:val="484848"/>
          <w:spacing w:val="0"/>
          <w:sz w:val="32"/>
          <w:szCs w:val="32"/>
          <w:u w:val="none"/>
        </w:rPr>
        <w:t>报考类别</w:t>
      </w:r>
    </w:p>
    <w:p w14:paraId="73BD7BE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（一）执业助理医师达到报考执业医师规定的，可以报考执业医师资格，报考类别应当与执业助理医师资格类别一致。</w:t>
      </w:r>
    </w:p>
    <w:p w14:paraId="735B5C9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（二）报考相应类别的医师资格，应当具备与其相一致的医学学历。</w:t>
      </w:r>
    </w:p>
    <w:p w14:paraId="2CFBAB4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具有临床医学专业本科学历，并在公共卫生岗位试用的，可以以该学历报考公共卫生类别医师资格。中医、中西医结合和民族医医学专业毕业的报考人员，按照取得学历的医学专业报考中医类别相应的医师资格。</w:t>
      </w:r>
    </w:p>
    <w:p w14:paraId="41B1303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（三）符合报考执业医师资格条件的人员可以报考同类别的执业助理医师资格。</w:t>
      </w:r>
    </w:p>
    <w:p w14:paraId="4D291EF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（四）在乡级以上计划生育技术服务机构中工作，符合《执业医师法》第九条、第十条规定条件的，可以报考相应类别医师资格。</w:t>
      </w:r>
    </w:p>
    <w:p w14:paraId="60FD7DD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rPr>
          <w:rFonts w:hint="default" w:ascii="Calibri" w:hAnsi="Calibri" w:cs="Calibri"/>
          <w:color w:val="484848"/>
          <w:sz w:val="21"/>
          <w:szCs w:val="21"/>
          <w:u w:val="none"/>
        </w:rPr>
      </w:pPr>
      <w:r>
        <w:rPr>
          <w:rFonts w:hint="eastAsia" w:ascii="仿宋_GB2312" w:hAnsi="Calibri" w:eastAsia="仿宋_GB2312" w:cs="仿宋_GB2312"/>
          <w:b/>
          <w:bCs/>
          <w:i w:val="0"/>
          <w:iCs w:val="0"/>
          <w:caps w:val="0"/>
          <w:color w:val="484848"/>
          <w:spacing w:val="0"/>
          <w:sz w:val="32"/>
          <w:szCs w:val="32"/>
          <w:u w:val="none"/>
        </w:rPr>
        <w:t>第六条  </w:t>
      </w:r>
      <w:r>
        <w:rPr>
          <w:rFonts w:hint="eastAsia" w:ascii="仿宋_GB2312" w:hAnsi="Calibri" w:eastAsia="仿宋_GB2312" w:cs="仿宋_GB2312"/>
          <w:i w:val="0"/>
          <w:iCs w:val="0"/>
          <w:caps w:val="0"/>
          <w:color w:val="484848"/>
          <w:spacing w:val="0"/>
          <w:sz w:val="32"/>
          <w:szCs w:val="32"/>
          <w:u w:val="none"/>
        </w:rPr>
        <w:t>学历审核</w:t>
      </w:r>
    </w:p>
    <w:p w14:paraId="5DBA2F7B">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学历的有效证明是指国家承认的毕业证书。基础医学类、法医学类、护理（学）类、医学技术类、药学类、中药学类等医学相关专业，其学历不作为报考医师资格的学历依据。</w:t>
      </w:r>
    </w:p>
    <w:p w14:paraId="7CD06DD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ascii="楷体_GB2312" w:hAnsi="Calibri" w:eastAsia="楷体_GB2312" w:cs="楷体_GB2312"/>
          <w:i w:val="0"/>
          <w:iCs w:val="0"/>
          <w:caps w:val="0"/>
          <w:color w:val="484848"/>
          <w:spacing w:val="0"/>
          <w:sz w:val="32"/>
          <w:szCs w:val="32"/>
          <w:u w:val="none"/>
        </w:rPr>
        <w:t>（一）研究生学历</w:t>
      </w:r>
    </w:p>
    <w:p w14:paraId="2700CB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1. 临床医学（含中医、中西医结合）、口腔医学、公共卫生专业学位研究生，在符合条件的医疗、预防、保健机构进行临床实践或公共卫生实践，至当次医学综合笔试时累计实践时间满1年的，以符合条件的本科学历和专业，于在学期间报考相应类别医师资格。</w:t>
      </w:r>
    </w:p>
    <w:p w14:paraId="4C6C66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临床医学、口腔医学、中医学、中医学（中西医结合方向）、眼视光医学、预防医学长学制学生在学期间已完成1年临床或公共卫生毕业实习和1年以上临床或公共卫生实践的，以本科学历报考相应类别医师资格。</w:t>
      </w:r>
    </w:p>
    <w:p w14:paraId="7F17F67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 临床医学（含中医、中西医结合）、口腔医学、公共卫生专业学位研究生学历，作为报考相应类别医师资格的学历依据。</w:t>
      </w:r>
    </w:p>
    <w:p w14:paraId="604EFE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在研究生毕业当年以研究生学历报考者，须在当年8月31日前提交研究生毕业证书，并提供学位证书等材料，证明是专业学位研究生学历，方可参加医学综合笔试。</w:t>
      </w:r>
    </w:p>
    <w:p w14:paraId="432945C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3. 2014年12月31日以前入学的临床医学、口腔医学、中医学、中西医结合、民族医学、公共卫生与预防医学专业的学术学位（原“科学学位”）研究生，具有相当于大学本科1年的临床或公共卫生毕业实习和1年以上的临床或公共卫生实践的，该研究生学历和学科作为报考相应类别医师资格的依据。在研究生毕业当年报考者，须在当年8月31日前提交研究生毕业证书，方可参加医学综合笔试。</w:t>
      </w:r>
    </w:p>
    <w:p w14:paraId="52CED2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2015年1月1日以后入学的学术学位研究生，其研究生学历不作为报考各类别医师资格的学历依据。</w:t>
      </w:r>
    </w:p>
    <w:p w14:paraId="5AB383A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4. 临床医学（护理学）学术学位研究生学历，或临床医学（护理领域）专业学位研究生学历，不作为报考各类别医师资格的学历依据。</w:t>
      </w:r>
    </w:p>
    <w:p w14:paraId="221B9F3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default" w:ascii="楷体_GB2312" w:hAnsi="Calibri" w:eastAsia="楷体_GB2312" w:cs="楷体_GB2312"/>
          <w:i w:val="0"/>
          <w:iCs w:val="0"/>
          <w:caps w:val="0"/>
          <w:color w:val="484848"/>
          <w:spacing w:val="0"/>
          <w:sz w:val="32"/>
          <w:szCs w:val="32"/>
          <w:u w:val="none"/>
        </w:rPr>
        <w:t>（二）本科学历</w:t>
      </w:r>
    </w:p>
    <w:p w14:paraId="114A7F10">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1. 五年及以上学制临床医学、麻醉学、精神医学、医学影像学、放射医学、眼视光医学（“眼视光学”仅限温州医科大学2012年12月31日以前入学）、医学检验（仅限2012年12月31日以前入学）、妇幼保健医学（仅限2014年12月31日以前入学）专业本科学历，作为报考临床类别执业医师资格考试的学历依据。</w:t>
      </w:r>
    </w:p>
    <w:p w14:paraId="6F6A574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 五年制的口腔医学专业本科学历，作为报考口腔类别执业医师资格考试的学历依据。</w:t>
      </w:r>
    </w:p>
    <w:p w14:paraId="462A21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6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3. 五年制预防医学、妇幼保健医学专业本科学历，作为报考公共卫生类别执业医师资格考试的学历依据。</w:t>
      </w:r>
    </w:p>
    <w:p w14:paraId="6E359BD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6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4. 五年及以上学制中医学、针灸推拿学、中西医临床医学、藏医学、蒙医学、维医学、傣医学、壮医学、哈萨克医学专业本科学历，作为报考中医类别相应执业医师资格考试的学历依据。</w:t>
      </w:r>
    </w:p>
    <w:p w14:paraId="4BE7E3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6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5. 2009年12月31日以前入学、符合本款规定的医学专业本科学历加注医学专业方向的，应以学历专业报考；2010年1月1日以后入学的，医学专业本科学历加注医学专业方向的，该学历不作为报考医师资格的学历依据，经国家教育行政部门批准的除外。</w:t>
      </w:r>
    </w:p>
    <w:p w14:paraId="7A47894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6. 专升本医学本科毕业生，2015年9月1日以后升入本科的，其专业必须与专科专业相同或相近，其本科学历方可作为报考医师资格的学历依据。</w:t>
      </w:r>
    </w:p>
    <w:p w14:paraId="12E7973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default" w:ascii="楷体_GB2312" w:hAnsi="Calibri" w:eastAsia="楷体_GB2312" w:cs="楷体_GB2312"/>
          <w:i w:val="0"/>
          <w:iCs w:val="0"/>
          <w:caps w:val="0"/>
          <w:color w:val="484848"/>
          <w:spacing w:val="0"/>
          <w:sz w:val="32"/>
          <w:szCs w:val="32"/>
          <w:u w:val="none"/>
        </w:rPr>
        <w:t>（三）高职（专科）学历</w:t>
      </w:r>
    </w:p>
    <w:p w14:paraId="429E4F8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1. 2005年1月1日以后入学的经教育部同意设置的临床医学类专业（含临床医学、口腔医学、中医学、中医骨伤、针灸推拿、蒙医学、藏医学、维医学等）毕业生，其专科学历作为报考医师资格的学历依据。</w:t>
      </w:r>
    </w:p>
    <w:p w14:paraId="5EE8B2A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2004年12月31日以前入学的经省级教育、卫生行政部门（中医药管理部门）批准设置的医学类专业（参照同期本科专业名称）毕业生，其专科学历作为报考医师资格的学历依据。</w:t>
      </w:r>
    </w:p>
    <w:p w14:paraId="4B6AC8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shd w:val="clear" w:fill="FFFFFF"/>
        </w:rPr>
        <w:t>2. 经省级以上教育、卫生行政部门同意举办的初中起点5年制医学专业2013年12月31日以前入学的毕业生，其专科学历作为报考医师资格的学历依据。取得资格后限定在乡村两级医疗机构执业满5年后，方可申请将执业地点变更至县级医疗机构。2014年1月1日以后入学的初中起点5年制医学专业毕业生，其专科学历不能作为报考医师资格的学历依据。</w:t>
      </w:r>
    </w:p>
    <w:p w14:paraId="46FBB6A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3. 2008年12月31日以前入学的中西医结合专业（含教育部、原卫生部批准试办的初中起点5年制专科层次中西医临床医学专业）毕业生，其专科学历作为报考医师资格的学历依据。</w:t>
      </w:r>
    </w:p>
    <w:p w14:paraId="5B4236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2009年1月1日以后入学的中西医结合专业毕业生（含初中起点5年制专科层次中西医临床医学专业），其专科学历不作为报考医师资格的学历依据。</w:t>
      </w:r>
    </w:p>
    <w:p w14:paraId="6515A7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4. 2009年12月31日前入学的，符合本款规定的医学专业专科学历加注医学专业方向的，应以学历专业报考；2010年1月1日以后入学的，医学专业专科学历加注医学专业方向的，该学历不作为报考医师资格的学历依据，经国家教育行政部门批准的除外。</w:t>
      </w:r>
    </w:p>
    <w:p w14:paraId="6E5F3A9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default" w:ascii="楷体_GB2312" w:hAnsi="Calibri" w:eastAsia="楷体_GB2312" w:cs="楷体_GB2312"/>
          <w:i w:val="0"/>
          <w:iCs w:val="0"/>
          <w:caps w:val="0"/>
          <w:color w:val="484848"/>
          <w:spacing w:val="0"/>
          <w:sz w:val="32"/>
          <w:szCs w:val="32"/>
          <w:u w:val="none"/>
        </w:rPr>
        <w:t>（四）中职（中专）学历</w:t>
      </w:r>
    </w:p>
    <w:p w14:paraId="23FA6D5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1. 2010年9月1日以后入学经省级教育行政部门、卫生计生行政部门（中医药管理部门）同意设置并报教育部备案的农村医学专业毕业生，其中职（中专）学历作为报考临床类别执业助理医师资格的学历依据。农村医学专业毕业生考取执业助理医师资格后，限定到村卫生室执业，确有需要的可到乡镇卫生院执业。</w:t>
      </w:r>
    </w:p>
    <w:p w14:paraId="37537FF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 2000年9月25日至2010年12月31日期间入学的中等职业学校（中等专业学校）卫生保健专业毕业生，其中职（中专）学历作为报考临床类别执业助理医师资格的学历依据。卫生保健专业毕业生取得资格后，限定到村卫生室执业，确有需要的可到乡镇卫生院执业。</w:t>
      </w:r>
    </w:p>
    <w:p w14:paraId="01B79B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shd w:val="clear" w:fill="FFFFFF"/>
        </w:rPr>
        <w:t>2011年1月1日以后入学的中等职业学校毕业生，除农村医学专业外，其他专业的中职（中专）学历不作为报考临床类别执业助理医师资格的学历依据。</w:t>
      </w:r>
    </w:p>
    <w:p w14:paraId="545F53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3. 2001年8月31日以前入学的中等职业学校（中等专业学校）社区医学、预防医学、妇幼卫生、医学影像诊断、口腔医学专业毕业生，其中职（中专）学历作为报考相应类别执业助理医师资格的学历依据。</w:t>
      </w:r>
    </w:p>
    <w:p w14:paraId="41CB8FEF">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2001年9月1日以后入学的上述专业毕业生，其中职（中专）学历不作为报考医师资格的学历依据。</w:t>
      </w:r>
    </w:p>
    <w:p w14:paraId="58A2A8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4. 2006年12月31日以前入学的中等职业学校中西医结合专业毕业生，其中职（中专）学历作为报考中医类别中西医结合医师资格的学历依据。</w:t>
      </w:r>
    </w:p>
    <w:p w14:paraId="49F8094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2007年1月1日以后入学的中西医结合专业毕业生，其中职（中专）学历不作为报考医师资格的学历依据。</w:t>
      </w:r>
    </w:p>
    <w:p w14:paraId="656B02F4">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5. 2006年12月31日以前入学的中等职业学校（中等专业学校）中医、民族医类专业毕业生，其中职（中专）学历作为报考中医类别相应医师资格的学历依据。</w:t>
      </w:r>
    </w:p>
    <w:p w14:paraId="1672B7C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2007年1月1日以后入学经教育部、国家中医药管理局备案的中等职业学校（中等专业学校）中医、民族医类专业毕业生，其中职（中专）学历作为报考中医类别相应医师资格的学历依据。2011年1月1日以后入学的中等中医类专业毕业生，取得资格后限定到基层医疗机构执业。</w:t>
      </w:r>
    </w:p>
    <w:p w14:paraId="061D9C5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6. 卫生职业高中学历不作为报考医师资格的学历依据。</w:t>
      </w:r>
    </w:p>
    <w:p w14:paraId="6B2CFF1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7. 1999年1月1日以后入学的卫生职工中等专业学校学历不作为报考医师资格的学历依据。</w:t>
      </w:r>
    </w:p>
    <w:p w14:paraId="32950A4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default" w:ascii="楷体_GB2312" w:hAnsi="Calibri" w:eastAsia="楷体_GB2312" w:cs="楷体_GB2312"/>
          <w:i w:val="0"/>
          <w:iCs w:val="0"/>
          <w:caps w:val="0"/>
          <w:color w:val="484848"/>
          <w:spacing w:val="0"/>
          <w:sz w:val="32"/>
          <w:szCs w:val="32"/>
          <w:u w:val="none"/>
        </w:rPr>
        <w:t>（五）成人教育学历</w:t>
      </w:r>
    </w:p>
    <w:p w14:paraId="6B0C4A5D">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1. 2002年10月31日以前入学的成人高等教育、自学考试、各类高等学校远程教育的医学类专业毕业生，该学历作为报考相应类别的医师资格的学历依据。</w:t>
      </w:r>
    </w:p>
    <w:p w14:paraId="46BA450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2002年11月1日以后入学的上述毕业生，如其入学前已通过医师资格考试取得执业助理医师资格，且所学专业与取得医师资格类别一致的，可以以成人教育学历报考执业医师资格。除上述情形外，2002年11月1日以后入学的成人高等教育、自学考试、各类高等学校远程教育的医学类专业毕业生，其成人高等教育学历不作为报考医师资格的学历依据。</w:t>
      </w:r>
    </w:p>
    <w:p w14:paraId="7358B4C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2.2001年8月31日以前入学的成人中专医学类专业毕业生，其成人中专学历作为报考医师资格的学历依据。</w:t>
      </w:r>
    </w:p>
    <w:p w14:paraId="160AE28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2001年9月1日以后入学的成人中专医学类专业毕业生，其成人中专学历不作为报考医师资格的学历依据。</w:t>
      </w:r>
    </w:p>
    <w:p w14:paraId="314AEAEA">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default" w:ascii="楷体_GB2312" w:hAnsi="Calibri" w:eastAsia="楷体_GB2312" w:cs="楷体_GB2312"/>
          <w:i w:val="0"/>
          <w:iCs w:val="0"/>
          <w:caps w:val="0"/>
          <w:color w:val="484848"/>
          <w:spacing w:val="0"/>
          <w:sz w:val="32"/>
          <w:szCs w:val="32"/>
          <w:u w:val="none"/>
        </w:rPr>
        <w:t>（六）西医学习中医人员</w:t>
      </w:r>
    </w:p>
    <w:p w14:paraId="04BDED0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已获得临床执业医师或执业助理医师资格的人员，取得省级以上教育行政部门认可的中医专业学历或者脱产两年以上系统学习中医药专业知识并获得省级中医药管理部门认可，或者参加省级中医药行政部门批准举办的西医学习中医培训班，并完成了规定课程学习，取得相应证书的，或者按照《传统医学师承和确有专长人员医师资格考核考试办法》有关规定跟师学习满3年并取得《传统医学师承出师证书》的，可以申请参加相同级别的中西医结合执业医师或执业助理医师资格考试。</w:t>
      </w:r>
    </w:p>
    <w:p w14:paraId="031BE9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default" w:ascii="楷体_GB2312" w:hAnsi="Calibri" w:eastAsia="楷体_GB2312" w:cs="楷体_GB2312"/>
          <w:i w:val="0"/>
          <w:iCs w:val="0"/>
          <w:caps w:val="0"/>
          <w:color w:val="484848"/>
          <w:spacing w:val="0"/>
          <w:sz w:val="32"/>
          <w:szCs w:val="32"/>
          <w:u w:val="none"/>
        </w:rPr>
        <w:t>（七）传统医学师承和确有专长人员</w:t>
      </w:r>
    </w:p>
    <w:p w14:paraId="202C7EF3">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1.传统医学师承和确有专长人员申请参加医师资格考试应符合《传统医学师承和确有专长人员医师资格考核考试办法》第二十七条、二十八条有关规定。</w:t>
      </w:r>
    </w:p>
    <w:p w14:paraId="59AF061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2.传统医学师承和确有专长人员取得执业助理医师执业证书后，取得国务院教育行政部门认可的成人高等教育中医类医学专业专科以上学历，其执业时间和取得成人高等教育学历时间符合规定的，可以报考具有规定学历的中医类别相应的执业医师资格。</w:t>
      </w:r>
    </w:p>
    <w:p w14:paraId="777A9298">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default" w:ascii="楷体_GB2312" w:hAnsi="Calibri" w:eastAsia="楷体_GB2312" w:cs="楷体_GB2312"/>
          <w:i w:val="0"/>
          <w:iCs w:val="0"/>
          <w:caps w:val="0"/>
          <w:color w:val="484848"/>
          <w:spacing w:val="0"/>
          <w:sz w:val="32"/>
          <w:szCs w:val="32"/>
          <w:u w:val="none"/>
        </w:rPr>
        <w:t>（八）其他</w:t>
      </w:r>
    </w:p>
    <w:p w14:paraId="40EEC026">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0"/>
        <w:jc w:val="both"/>
        <w:rPr>
          <w:rFonts w:hint="default" w:ascii="Calibri" w:hAnsi="Calibri" w:cs="Calibri"/>
          <w:color w:val="484848"/>
          <w:sz w:val="21"/>
          <w:szCs w:val="21"/>
          <w:u w:val="none"/>
        </w:rPr>
      </w:pPr>
      <w:r>
        <w:rPr>
          <w:rFonts w:hint="eastAsia" w:ascii="仿宋_GB2312" w:hAnsi="Calibri" w:eastAsia="仿宋_GB2312" w:cs="仿宋_GB2312"/>
          <w:i w:val="0"/>
          <w:iCs w:val="0"/>
          <w:caps w:val="0"/>
          <w:color w:val="484848"/>
          <w:spacing w:val="0"/>
          <w:sz w:val="32"/>
          <w:szCs w:val="32"/>
          <w:u w:val="none"/>
        </w:rPr>
        <w:t>取得国外医学学历学位的中国大陆居民，其学历学位证书须经教育部留学服务中心认证，同时符合《执业医师法》及其有关文件规定的，可以按照本规定报考。</w:t>
      </w:r>
    </w:p>
    <w:p w14:paraId="4C5D5B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rPr>
          <w:rFonts w:hint="default" w:ascii="Calibri" w:hAnsi="Calibri" w:cs="Calibri"/>
          <w:color w:val="484848"/>
          <w:sz w:val="21"/>
          <w:szCs w:val="21"/>
          <w:u w:val="none"/>
        </w:rPr>
      </w:pPr>
      <w:r>
        <w:rPr>
          <w:rFonts w:hint="eastAsia" w:ascii="仿宋_GB2312" w:hAnsi="Calibri" w:eastAsia="仿宋_GB2312" w:cs="仿宋_GB2312"/>
          <w:b/>
          <w:bCs/>
          <w:i w:val="0"/>
          <w:iCs w:val="0"/>
          <w:caps w:val="0"/>
          <w:color w:val="484848"/>
          <w:spacing w:val="0"/>
          <w:sz w:val="32"/>
          <w:szCs w:val="32"/>
          <w:u w:val="none"/>
        </w:rPr>
        <w:t>第七条</w:t>
      </w:r>
      <w:r>
        <w:rPr>
          <w:rFonts w:hint="eastAsia" w:ascii="仿宋_GB2312" w:hAnsi="Calibri" w:eastAsia="仿宋_GB2312" w:cs="仿宋_GB2312"/>
          <w:i w:val="0"/>
          <w:iCs w:val="0"/>
          <w:caps w:val="0"/>
          <w:color w:val="484848"/>
          <w:spacing w:val="0"/>
          <w:sz w:val="32"/>
          <w:szCs w:val="32"/>
          <w:u w:val="none"/>
        </w:rPr>
        <w:t>  台湾、香港、澳门永久性居民以及外籍人员报考的，按照有关文件规定执行。</w:t>
      </w:r>
    </w:p>
    <w:p w14:paraId="3314927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rPr>
          <w:rFonts w:hint="default" w:ascii="Calibri" w:hAnsi="Calibri" w:cs="Calibri"/>
          <w:color w:val="484848"/>
          <w:sz w:val="21"/>
          <w:szCs w:val="21"/>
          <w:u w:val="none"/>
        </w:rPr>
      </w:pPr>
      <w:r>
        <w:rPr>
          <w:rFonts w:hint="eastAsia" w:ascii="仿宋_GB2312" w:hAnsi="Calibri" w:eastAsia="仿宋_GB2312" w:cs="仿宋_GB2312"/>
          <w:b/>
          <w:bCs/>
          <w:i w:val="0"/>
          <w:iCs w:val="0"/>
          <w:caps w:val="0"/>
          <w:color w:val="484848"/>
          <w:spacing w:val="0"/>
          <w:sz w:val="32"/>
          <w:szCs w:val="32"/>
          <w:u w:val="none"/>
        </w:rPr>
        <w:t>第八条</w:t>
      </w:r>
      <w:r>
        <w:rPr>
          <w:rFonts w:hint="eastAsia" w:ascii="仿宋_GB2312" w:hAnsi="Calibri" w:eastAsia="仿宋_GB2312" w:cs="仿宋_GB2312"/>
          <w:i w:val="0"/>
          <w:iCs w:val="0"/>
          <w:caps w:val="0"/>
          <w:color w:val="484848"/>
          <w:spacing w:val="0"/>
          <w:sz w:val="32"/>
          <w:szCs w:val="32"/>
          <w:u w:val="none"/>
        </w:rPr>
        <w:t>  盲人医疗按摩人员按照《盲人医疗按摩管理办法》（卫医政发〔2009〕37号）规定，参加盲人医疗按摩人员考试。</w:t>
      </w:r>
    </w:p>
    <w:p w14:paraId="4FFC5B59">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rPr>
          <w:rFonts w:hint="default" w:ascii="Calibri" w:hAnsi="Calibri" w:cs="Calibri"/>
          <w:color w:val="484848"/>
          <w:sz w:val="21"/>
          <w:szCs w:val="21"/>
          <w:u w:val="none"/>
        </w:rPr>
      </w:pPr>
      <w:r>
        <w:rPr>
          <w:rFonts w:hint="eastAsia" w:ascii="仿宋_GB2312" w:hAnsi="Calibri" w:eastAsia="仿宋_GB2312" w:cs="仿宋_GB2312"/>
          <w:b/>
          <w:bCs/>
          <w:i w:val="0"/>
          <w:iCs w:val="0"/>
          <w:caps w:val="0"/>
          <w:color w:val="484848"/>
          <w:spacing w:val="0"/>
          <w:sz w:val="32"/>
          <w:szCs w:val="32"/>
          <w:u w:val="none"/>
        </w:rPr>
        <w:t>第九条</w:t>
      </w:r>
      <w:r>
        <w:rPr>
          <w:rFonts w:hint="eastAsia" w:ascii="仿宋_GB2312" w:hAnsi="Calibri" w:eastAsia="仿宋_GB2312" w:cs="仿宋_GB2312"/>
          <w:i w:val="0"/>
          <w:iCs w:val="0"/>
          <w:caps w:val="0"/>
          <w:color w:val="484848"/>
          <w:spacing w:val="0"/>
          <w:sz w:val="32"/>
          <w:szCs w:val="32"/>
          <w:u w:val="none"/>
        </w:rPr>
        <w:t>  本规定自公布之日起施行。《医师资格考试报名资格规定（2006版）》和《关于修订〈医师资格考试报名资格规定（2006版）〉有关条款的通知》（卫办医发〔2008〕64号）同时废止。</w:t>
      </w:r>
    </w:p>
    <w:p w14:paraId="5968F71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43"/>
        <w:jc w:val="both"/>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楷体_GB2312">
    <w:altName w:val="楷体"/>
    <w:panose1 w:val="00000000000000000000"/>
    <w:charset w:val="00"/>
    <w:family w:val="auto"/>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9C049B"/>
    <w:rsid w:val="18572C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jpeg"/><Relationship Id="rId7" Type="http://schemas.openxmlformats.org/officeDocument/2006/relationships/hyperlink" Target="javascript:window.print()" TargetMode="Externa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www.nhc.gov.cn/yzygj/s3577/201403/03c9ff9de89f4fcfa162553d5a329339.shtml" TargetMode="Externa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4618</Words>
  <Characters>4825</Characters>
  <Lines>0</Lines>
  <Paragraphs>0</Paragraphs>
  <TotalTime>0</TotalTime>
  <ScaleCrop>false</ScaleCrop>
  <LinksUpToDate>false</LinksUpToDate>
  <CharactersWithSpaces>4887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2025-02-08T07:46:00Z</dcterms:created>
  <dc:creator>Administrator</dc:creator>
  <cp:lastModifiedBy>付丶</cp:lastModifiedBy>
  <dcterms:modified xsi:type="dcterms:W3CDTF">2026-09-20T09:21:58Z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eyJoZGlkIjoiZTY2M2RiYmUyZjkxNzkyY2NiYWVkMGQzZGI4NWMyOTYiLCJ1c2VySWQiOiI1ODA2NzM3MTMifQ==</vt:lpwstr>
  </property>
  <property fmtid="{D5CDD505-2E9C-101B-9397-08002B2CF9AE}" pid="4" name="ICV">
    <vt:lpwstr>FF99F45DD86944DF8E44AE9192202632_12</vt:lpwstr>
  </property>
</Properties>
</file>