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E9FCA">
      <w:pPr>
        <w:widowControl/>
        <w:spacing w:before="156" w:beforeLines="50" w:after="156" w:afterLines="50" w:line="480" w:lineRule="auto"/>
        <w:jc w:val="center"/>
        <w:rPr>
          <w:rFonts w:hint="eastAsia" w:ascii="仿宋_GB2312" w:hAnsi="宋体" w:eastAsia="仿宋_GB2312" w:cs="宋体"/>
          <w:b/>
          <w:bCs/>
          <w:color w:val="000000"/>
          <w:kern w:val="0"/>
          <w:sz w:val="30"/>
          <w:szCs w:val="30"/>
        </w:rPr>
      </w:pPr>
      <w:bookmarkStart w:id="2" w:name="_GoBack"/>
      <w:bookmarkEnd w:id="2"/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</w:rPr>
        <w:t>兴业银行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/>
        </w:rPr>
        <w:t>成都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</w:rPr>
        <w:t>分行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eastAsia="zh-CN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/>
        </w:rPr>
        <w:t>7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</w:rPr>
        <w:t>校园招聘公告</w:t>
      </w:r>
    </w:p>
    <w:p w14:paraId="48D539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5" w:after="45" w:line="240" w:lineRule="auto"/>
        <w:ind w:firstLine="672" w:firstLineChars="21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bookmarkStart w:id="0" w:name="OLE_LINK2"/>
      <w:bookmarkStart w:id="1" w:name="OLE_LINK1"/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兴业银行</w:t>
      </w:r>
      <w:r>
        <w:rPr>
          <w:rFonts w:hint="eastAsia" w:ascii="仿宋" w:hAnsi="仿宋" w:eastAsia="仿宋" w:cs="仿宋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成都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分行是兴业银行在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lang w:val="en-US" w:eastAsia="zh-CN"/>
        </w:rPr>
        <w:t>四川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地区的一级分支机构，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成立于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2003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月，目前设有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126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个营业网点，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lang w:val="en-US" w:eastAsia="zh-CN"/>
        </w:rPr>
        <w:t>2000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多名员工，为超过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lang w:val="en-US" w:eastAsia="zh-CN"/>
        </w:rPr>
        <w:t>460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万个人客户和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万法人客户提供多层次、宽领域、个性化的优质金融服务,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 业务规模、盈利能力、资产质量在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四川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地区商业银行中始终居于前列，并保持着良好发展态势。</w:t>
      </w:r>
    </w:p>
    <w:p w14:paraId="2A6E8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作为兴业银行优秀分行之一，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lang w:val="en-US" w:eastAsia="zh-CN"/>
        </w:rPr>
        <w:t>成都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分行始终秉承“以人为本、人才强行”的立行宗旨，</w:t>
      </w:r>
      <w:r>
        <w:rPr>
          <w:rFonts w:hint="eastAsia" w:ascii="仿宋" w:hAnsi="仿宋" w:eastAsia="仿宋" w:cs="仿宋"/>
          <w:sz w:val="32"/>
          <w:szCs w:val="32"/>
        </w:rPr>
        <w:t>坚持创新与发展，重视员工的职业生涯发展，积极提供优质的员工成长成才培训资源，助推员工通过自身努力获得发展与提升，实现公司价值与员工价值的和谐发展。</w:t>
      </w:r>
    </w:p>
    <w:p w14:paraId="06008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兴征程，任你闪耀。兴业银行竭诚欢迎有理想有追求的青年才俊加盟，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携手开创</w:t>
      </w:r>
      <w:r>
        <w:rPr>
          <w:rFonts w:hint="eastAsia" w:ascii="仿宋" w:hAnsi="仿宋" w:eastAsia="仿宋" w:cs="仿宋"/>
          <w:sz w:val="32"/>
          <w:szCs w:val="32"/>
        </w:rPr>
        <w:t>美好未来！</w:t>
      </w:r>
    </w:p>
    <w:bookmarkEnd w:id="0"/>
    <w:bookmarkEnd w:id="1"/>
    <w:p w14:paraId="5FF41F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5" w:after="45" w:line="240" w:lineRule="auto"/>
        <w:ind w:firstLine="602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一、招聘对象</w:t>
      </w:r>
    </w:p>
    <w:p w14:paraId="32A9F28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本科及以上学历，主要面向境内外应届毕业生，其中:境内院校毕业生应于2027年8月31日前取得毕业证、学位证；境外院校毕业生应为2026年1月至2027年8月之间毕业，并在报到时取得国家教育部认证出具的学历学位认证。</w:t>
      </w:r>
    </w:p>
    <w:p w14:paraId="00D1BA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5" w:after="45" w:line="240" w:lineRule="auto"/>
        <w:ind w:firstLine="602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二、招聘岗位</w:t>
      </w:r>
    </w:p>
    <w:p w14:paraId="53D542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5" w:after="45" w:line="240" w:lineRule="auto"/>
        <w:ind w:firstLine="602"/>
        <w:textAlignment w:val="auto"/>
        <w:rPr>
          <w:rFonts w:hint="eastAsia" w:ascii="仿宋" w:hAnsi="仿宋" w:eastAsia="仿宋" w:cs="仿宋"/>
          <w:b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</w:rPr>
        <w:t>（一）管理培训生</w:t>
      </w:r>
    </w:p>
    <w:p w14:paraId="1A62E02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Lines="0" w:afterAutospacing="0" w:line="579" w:lineRule="exact"/>
        <w:ind w:left="0" w:right="0" w:rightChars="0" w:firstLine="643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"/>
        </w:rPr>
        <w:t>1.管理培训生（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"/>
        </w:rPr>
        <w:t>综合方向）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:</w:t>
      </w:r>
      <w:r>
        <w:rPr>
          <w:rFonts w:hint="eastAsia" w:ascii="仿宋" w:hAnsi="仿宋" w:eastAsia="仿宋" w:cs="仿宋"/>
          <w:bCs/>
          <w:kern w:val="2"/>
          <w:sz w:val="32"/>
          <w:szCs w:val="32"/>
          <w:highlight w:val="none"/>
          <w:lang w:val="en-US" w:eastAsia="zh-CN" w:bidi="ar"/>
        </w:rPr>
        <w:t>主要为</w:t>
      </w: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"/>
        </w:rPr>
        <w:t>数字化经营、</w:t>
      </w:r>
      <w:r>
        <w:rPr>
          <w:rFonts w:hint="eastAsia" w:ascii="仿宋" w:hAnsi="仿宋" w:eastAsia="仿宋" w:cs="仿宋"/>
          <w:bCs/>
          <w:kern w:val="2"/>
          <w:sz w:val="32"/>
          <w:szCs w:val="32"/>
          <w:highlight w:val="none"/>
          <w:lang w:val="en-US" w:eastAsia="zh-CN" w:bidi="ar"/>
        </w:rPr>
        <w:t>战略管理、政策制定、产品管理、风险管理、资源配置等工作提供人才储备，以</w:t>
      </w: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"/>
        </w:rPr>
        <w:t>信息科技、数理统计、</w:t>
      </w:r>
      <w:r>
        <w:rPr>
          <w:rFonts w:hint="eastAsia" w:ascii="仿宋" w:hAnsi="仿宋" w:eastAsia="仿宋" w:cs="仿宋"/>
          <w:bCs/>
          <w:kern w:val="2"/>
          <w:sz w:val="32"/>
          <w:szCs w:val="32"/>
          <w:highlight w:val="none"/>
          <w:lang w:val="en-US" w:eastAsia="zh-CN" w:bidi="ar"/>
        </w:rPr>
        <w:t>经济、金融、国际贸易、法律、外语等相关专业为主。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"/>
        </w:rPr>
        <w:t xml:space="preserve"> </w:t>
      </w:r>
    </w:p>
    <w:p w14:paraId="42086293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Lines="0" w:afterAutospacing="0" w:line="579" w:lineRule="exact"/>
        <w:ind w:left="0" w:right="0" w:rightChars="0" w:firstLine="643" w:firstLineChars="200"/>
        <w:jc w:val="both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"/>
        </w:rPr>
        <w:t>2.管理培训生（产业金融与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"/>
        </w:rPr>
        <w:t>绿色金融方向</w:t>
      </w: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  <w:lang w:val="en-US" w:eastAsia="zh-CN" w:bidi="ar"/>
        </w:rPr>
        <w:t>）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"/>
        </w:rPr>
        <w:t>: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主要为产业及行业研究、产业政策研究、市场分析、产品创新、营销推广、环境与社会风险管理等相关工作提供人才储备</w:t>
      </w: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"/>
        </w:rPr>
        <w:t>，以能源动力、材料、化学化工、机械、电气电子、信息通信、自动化、航空航天、交通运输、生物医药、环境等专业为主，</w:t>
      </w: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bidi="ar"/>
        </w:rPr>
        <w:t>本科或研究生阶段具有上述专业背景均可</w:t>
      </w: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eastAsia="zh-CN" w:bidi="ar"/>
        </w:rPr>
        <w:t>。</w:t>
      </w:r>
    </w:p>
    <w:p w14:paraId="402AC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after="0"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  <w:lang w:val="en-US" w:eastAsia="zh-CN"/>
        </w:rPr>
        <w:t>管理培训生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highlight w:val="none"/>
        </w:rPr>
        <w:t>新员工录用后，原则上根据培养方向与培养重点的不同，在培养期内分层分类实施临柜锻炼、营销实践、管理见习、深入专业等阶段的培养计划，期间实行严格的考核、认证、选拔与淘汰管理机制。培养期满后，根据管理培训生实习实践、考核表现等情况，择优选聘到管理岗位。</w:t>
      </w:r>
    </w:p>
    <w:p w14:paraId="58032B6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5" w:after="45" w:line="240" w:lineRule="auto"/>
        <w:ind w:firstLine="602"/>
        <w:textAlignment w:val="auto"/>
        <w:rPr>
          <w:rFonts w:hint="eastAsia" w:ascii="仿宋" w:hAnsi="仿宋" w:eastAsia="仿宋" w:cs="仿宋"/>
          <w:b/>
          <w:bCs w:val="0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</w:rPr>
        <w:t>市场营销类</w:t>
      </w:r>
    </w:p>
    <w:p w14:paraId="71168A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5" w:after="45"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主要为企业金融、同业金融、零售金融等业务营销工作提供人才储备。新员工录用后，原则上先安排至营业网点进行一定期限的培养锻炼，之后根据分行实际工作需要、个人工作表现及专长，聘入相关条线从事客户拓展、关系维护及产品销售等相关岗位。</w:t>
      </w:r>
    </w:p>
    <w:p w14:paraId="72F27B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5" w:after="45"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三、工作地点</w:t>
      </w:r>
    </w:p>
    <w:p w14:paraId="4CC89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5" w:after="45"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lang w:val="en-US" w:eastAsia="zh-CN"/>
        </w:rPr>
        <w:t>成都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</w:rPr>
        <w:t>分行所辖分支机构。</w:t>
      </w:r>
    </w:p>
    <w:p w14:paraId="4F5ACC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5" w:after="45" w:line="240" w:lineRule="auto"/>
        <w:ind w:firstLine="602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四、应聘条件</w:t>
      </w:r>
    </w:p>
    <w:p w14:paraId="243CEF3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  <w:lang w:val="en-US" w:eastAsia="zh-CN"/>
        </w:rPr>
        <w:t>（一）</w:t>
      </w: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本科及以上学历；</w:t>
      </w:r>
    </w:p>
    <w:p w14:paraId="11AA478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  <w:lang w:val="en-US" w:eastAsia="zh-CN"/>
        </w:rPr>
        <w:t>（二）</w:t>
      </w: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遵纪守法、诚实守信，无违法、违规、违纪等不良记录；</w:t>
      </w:r>
    </w:p>
    <w:p w14:paraId="725913D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  <w:lang w:val="en-US" w:eastAsia="zh-CN"/>
        </w:rPr>
        <w:t>（三）</w:t>
      </w: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具有良好的学习和研究分析能力、语言与文字表达能力、组织协调能力和团结合作意识，能够承担工作压力；</w:t>
      </w:r>
    </w:p>
    <w:p w14:paraId="5E02F00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  <w:lang w:val="en-US" w:eastAsia="zh-CN"/>
        </w:rPr>
        <w:t>（四）</w:t>
      </w: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具有正常履行工作职责的身体条件及健康良好的心理素质；</w:t>
      </w:r>
    </w:p>
    <w:p w14:paraId="29E0155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  <w:lang w:val="en-US" w:eastAsia="zh-CN"/>
        </w:rPr>
        <w:t>（五）</w:t>
      </w: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符合兴业银行亲属回避的有关规定；</w:t>
      </w:r>
    </w:p>
    <w:p w14:paraId="3F1B03A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  <w:lang w:val="en-US" w:eastAsia="zh-CN"/>
        </w:rPr>
        <w:t>（六）</w:t>
      </w: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</w:rPr>
        <w:t>符合应聘职位的其他资格条件和胜任能力。</w:t>
      </w:r>
    </w:p>
    <w:p w14:paraId="312CF50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shd w:val="clear" w:color="auto" w:fill="FFFFFF"/>
        </w:rPr>
        <w:t>五、应聘方式</w:t>
      </w:r>
    </w:p>
    <w:p w14:paraId="559B5D6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报名统一采用在线网申的形式，应聘者通过兴业银行招聘网站（https://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  <w:lang w:val="en-US" w:eastAsia="zh-CN"/>
        </w:rPr>
        <w:t>job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.cib.com.cn/）或“兴业银行招聘”微信公众号，按要求注册、填写简历、申请职位。每位应聘者可根据意愿最多申报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家机构，每家机构限报1个岗位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  <w:lang w:eastAsia="zh-CN"/>
        </w:rPr>
        <w:t>。</w:t>
      </w:r>
    </w:p>
    <w:p w14:paraId="48E7824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shd w:val="clear" w:color="auto" w:fill="FFFFFF"/>
        </w:rPr>
        <w:t>六、招聘程序</w:t>
      </w:r>
    </w:p>
    <w:p w14:paraId="46C4CE6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包含网申报名、简历初选、笔试、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  <w:lang w:val="en-US" w:eastAsia="zh-CN"/>
        </w:rPr>
        <w:t>实习考核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、体检、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  <w:lang w:val="en-US" w:eastAsia="zh-CN"/>
        </w:rPr>
        <w:t>面试、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录用等环节。</w:t>
      </w:r>
    </w:p>
    <w:p w14:paraId="558FDBF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shd w:val="clear" w:color="auto" w:fill="FFFFFF"/>
        </w:rPr>
        <w:t>七、有关注意事项</w:t>
      </w:r>
    </w:p>
    <w:p w14:paraId="2C240A7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（一）应聘者需提供本人真实、准确、完整的应聘信息，如与事实不符，兴业银行有权即刻取消应聘者的应聘资格，应聘者自行承担由此导致的全部后果。兴业银行承诺对应聘者的信息予以保密。</w:t>
      </w:r>
    </w:p>
    <w:p w14:paraId="6A2A15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（二）对于通过各招聘环节的应聘者，兴业银行将通过站内消息、电话、短信、微信或邮件方式通知，请保持注册手机通讯畅通。</w:t>
      </w:r>
    </w:p>
    <w:p w14:paraId="63BF52C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（三）请持续关注兴业银行网站发布的招聘信息。各项招聘安排，以网上最新公布的信息为准。</w:t>
      </w:r>
    </w:p>
    <w:p w14:paraId="4B459B3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（四）微信关注兴业银行招聘公众号“兴业银行招聘”，获取更多招聘信息。</w:t>
      </w:r>
    </w:p>
    <w:p w14:paraId="0E312FD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（五）兴业银行笔面试不指定考试辅导用书，不举办也不委托任何机构举办考试辅导培训班。</w:t>
      </w:r>
    </w:p>
    <w:p w14:paraId="46BB8FF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（六）根据岗位需求变化及报名情况等因素，兴业银行有权调整、取消或终止个别岗位的招聘工作，并享有最终解释权。</w:t>
      </w:r>
    </w:p>
    <w:p w14:paraId="187A48D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shd w:val="clear" w:color="auto" w:fill="FFFFFF"/>
        </w:rPr>
        <w:t>八、联系方式</w:t>
      </w:r>
    </w:p>
    <w:p w14:paraId="698DA6D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联系电话：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028-61818981</w:t>
      </w:r>
    </w:p>
    <w:sectPr>
      <w:footerReference r:id="rId3" w:type="default"/>
      <w:footerReference r:id="rId4" w:type="even"/>
      <w:pgSz w:w="11906" w:h="16838"/>
      <w:pgMar w:top="1418" w:right="1304" w:bottom="1276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小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B6831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3</w:t>
    </w:r>
    <w:r>
      <w:fldChar w:fldCharType="end"/>
    </w:r>
  </w:p>
  <w:p w14:paraId="51739329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409DE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4DDC7C38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2CDAD7"/>
    <w:multiLevelType w:val="singleLevel"/>
    <w:tmpl w:val="E62CDAD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jYTFkOGJmNmM0NDY3ZWM4YWEyZjVhMWIyMWEyODIifQ=="/>
  </w:docVars>
  <w:rsids>
    <w:rsidRoot w:val="70E55A74"/>
    <w:rsid w:val="0C6669C9"/>
    <w:rsid w:val="0CD6613B"/>
    <w:rsid w:val="11461AD4"/>
    <w:rsid w:val="17C00D2D"/>
    <w:rsid w:val="193A09F3"/>
    <w:rsid w:val="20095684"/>
    <w:rsid w:val="24650BB2"/>
    <w:rsid w:val="25A73764"/>
    <w:rsid w:val="29C6678B"/>
    <w:rsid w:val="2A7A5347"/>
    <w:rsid w:val="2AAE4548"/>
    <w:rsid w:val="2B342C03"/>
    <w:rsid w:val="2CBB017E"/>
    <w:rsid w:val="34341249"/>
    <w:rsid w:val="362D181A"/>
    <w:rsid w:val="36CC168A"/>
    <w:rsid w:val="399C59A8"/>
    <w:rsid w:val="3A9F768B"/>
    <w:rsid w:val="40593F8F"/>
    <w:rsid w:val="49137107"/>
    <w:rsid w:val="4D3C4A4A"/>
    <w:rsid w:val="52A70F4E"/>
    <w:rsid w:val="58956348"/>
    <w:rsid w:val="5D590791"/>
    <w:rsid w:val="60A45CCF"/>
    <w:rsid w:val="69C31A55"/>
    <w:rsid w:val="6D3A7813"/>
    <w:rsid w:val="6EBE1A2E"/>
    <w:rsid w:val="6F4251A8"/>
    <w:rsid w:val="70E55A74"/>
    <w:rsid w:val="734F54B2"/>
    <w:rsid w:val="73FA15AF"/>
    <w:rsid w:val="785C7DF7"/>
    <w:rsid w:val="7A281476"/>
    <w:rsid w:val="9F4FE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 2"/>
    <w:basedOn w:val="2"/>
    <w:qFormat/>
    <w:uiPriority w:val="99"/>
    <w:pPr>
      <w:ind w:firstLine="420" w:firstLineChars="200"/>
    </w:p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2022-08-03T20:17:00Z</dcterms:created>
  <dc:creator>雷墁</dc:creator>
  <cp:lastModifiedBy>付雨</cp:lastModifiedBy>
  <cp:lastPrinted>2026-09-20T15:48:00Z</cp:lastPrinted>
  <dcterms:modified xsi:type="dcterms:W3CDTF">2026-09-21T14:35:10Z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8F17F91742CA79861ED0B06A10E7A836_43</vt:lpwstr>
  </property>
</Properties>
</file>