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120" w:line="59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6"/>
        <w:spacing w:after="120" w:line="59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工银投资2027年度校园招聘岗位及条件</w:t>
      </w:r>
    </w:p>
    <w:tbl>
      <w:tblPr>
        <w:tblStyle w:val="4"/>
        <w:tblW w:w="5176" w:type="pct"/>
        <w:tblInd w:w="-3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7"/>
        <w:gridCol w:w="796"/>
        <w:gridCol w:w="2377"/>
        <w:gridCol w:w="4188"/>
        <w:gridCol w:w="1073"/>
        <w:gridCol w:w="1646"/>
        <w:gridCol w:w="997"/>
        <w:gridCol w:w="1015"/>
        <w:gridCol w:w="1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岗位名称/对外发布名称</w:t>
            </w:r>
          </w:p>
        </w:tc>
        <w:tc>
          <w:tcPr>
            <w:tcW w:w="270" w:type="pct"/>
            <w:vMerge w:val="restar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工作地点</w:t>
            </w:r>
          </w:p>
        </w:tc>
        <w:tc>
          <w:tcPr>
            <w:tcW w:w="807" w:type="pct"/>
            <w:vMerge w:val="restar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职位描述</w:t>
            </w:r>
          </w:p>
        </w:tc>
        <w:tc>
          <w:tcPr>
            <w:tcW w:w="3471" w:type="pct"/>
            <w:gridSpan w:val="6"/>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职位要求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blHeader/>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jc w:val="center"/>
              <w:rPr>
                <w:rFonts w:hint="eastAsia" w:ascii="宋体" w:hAnsi="宋体" w:eastAsia="宋体" w:cs="宋体"/>
                <w:b/>
                <w:bCs/>
                <w:i w:val="0"/>
                <w:iCs w:val="0"/>
                <w:color w:val="000000"/>
                <w:sz w:val="21"/>
                <w:szCs w:val="21"/>
                <w:u w:val="none"/>
              </w:rPr>
            </w:pPr>
          </w:p>
        </w:tc>
        <w:tc>
          <w:tcPr>
            <w:tcW w:w="270" w:type="pct"/>
            <w:vMerge w:val="continue"/>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jc w:val="center"/>
              <w:rPr>
                <w:rFonts w:hint="eastAsia" w:ascii="宋体" w:hAnsi="宋体" w:eastAsia="宋体" w:cs="宋体"/>
                <w:b/>
                <w:bCs/>
                <w:i w:val="0"/>
                <w:iCs w:val="0"/>
                <w:color w:val="000000"/>
                <w:sz w:val="21"/>
                <w:szCs w:val="21"/>
                <w:u w:val="none"/>
              </w:rPr>
            </w:pPr>
          </w:p>
        </w:tc>
        <w:tc>
          <w:tcPr>
            <w:tcW w:w="807" w:type="pct"/>
            <w:vMerge w:val="continue"/>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jc w:val="center"/>
              <w:rPr>
                <w:rFonts w:hint="eastAsia" w:ascii="宋体" w:hAnsi="宋体" w:eastAsia="宋体" w:cs="宋体"/>
                <w:b/>
                <w:bCs/>
                <w:i w:val="0"/>
                <w:iCs w:val="0"/>
                <w:color w:val="000000"/>
                <w:sz w:val="21"/>
                <w:szCs w:val="21"/>
                <w:u w:val="none"/>
              </w:rPr>
            </w:pPr>
          </w:p>
        </w:tc>
        <w:tc>
          <w:tcPr>
            <w:tcW w:w="1422"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基本条件</w:t>
            </w:r>
          </w:p>
        </w:tc>
        <w:tc>
          <w:tcPr>
            <w:tcW w:w="364"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院校及学历条件</w:t>
            </w:r>
          </w:p>
        </w:tc>
        <w:tc>
          <w:tcPr>
            <w:tcW w:w="559"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外语条件</w:t>
            </w:r>
          </w:p>
        </w:tc>
        <w:tc>
          <w:tcPr>
            <w:tcW w:w="338"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专业</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条件</w:t>
            </w:r>
          </w:p>
        </w:tc>
        <w:tc>
          <w:tcPr>
            <w:tcW w:w="344"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其他</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条件</w:t>
            </w:r>
          </w:p>
        </w:tc>
        <w:tc>
          <w:tcPr>
            <w:tcW w:w="442" w:type="pct"/>
            <w:tcBorders>
              <w:top w:val="single" w:color="000000" w:sz="4" w:space="0"/>
              <w:left w:val="single" w:color="000000" w:sz="4" w:space="0"/>
              <w:bottom w:val="single" w:color="000000" w:sz="4" w:space="0"/>
              <w:right w:val="single" w:color="000000" w:sz="4" w:space="0"/>
            </w:tcBorders>
            <w:shd w:val="clear" w:color="auto" w:fill="99CC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可予以优先考虑的情形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工银投资-专业英才-投募资岗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南京</w:t>
            </w:r>
          </w:p>
        </w:tc>
        <w:tc>
          <w:tcPr>
            <w:tcW w:w="80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市场化债转股及股权投资人才储备。目标定位成为投融资相关的项目营销、商务谈判、产品设计、前期调研、投资价值分析、私募产品和投资基金管理等相关岗位专业人才。</w:t>
            </w:r>
          </w:p>
        </w:tc>
        <w:tc>
          <w:tcPr>
            <w:tcW w:w="142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1.政治素质好。深刻领悟“两个确立”的决定性意义，增强“四个意识”、坚定“四个自信”、做到“两个维护”。热爱祖国，认真贯彻执行党和国家的路线、方针和政策。</w:t>
            </w:r>
          </w:p>
          <w:p>
            <w:pPr>
              <w:keepNext w:val="0"/>
              <w:keepLines w:val="0"/>
              <w:widowControl/>
              <w:suppressLineNumbers w:val="0"/>
              <w:jc w:val="left"/>
              <w:textAlignment w:val="center"/>
              <w:rPr>
                <w:rFonts w:hint="eastAsia"/>
                <w:lang w:val="en-US" w:eastAsia="zh-CN"/>
              </w:rPr>
            </w:pPr>
            <w:r>
              <w:rPr>
                <w:rFonts w:hint="eastAsia"/>
                <w:lang w:val="en-US" w:eastAsia="zh-CN"/>
              </w:rPr>
              <w:t>2.诚实守信，遵纪守法，品行端正；综合素质较好，具有较强的学习能力、沟通能力和团队合作精神；具有良好的心理素质和身体素质。</w:t>
            </w:r>
          </w:p>
          <w:p>
            <w:pPr>
              <w:keepNext w:val="0"/>
              <w:keepLines w:val="0"/>
              <w:widowControl/>
              <w:suppressLineNumbers w:val="0"/>
              <w:jc w:val="left"/>
              <w:textAlignment w:val="center"/>
              <w:rPr>
                <w:rFonts w:hint="eastAsia"/>
                <w:lang w:val="en-US" w:eastAsia="zh-CN"/>
              </w:rPr>
            </w:pPr>
            <w:r>
              <w:rPr>
                <w:rFonts w:hint="eastAsia"/>
                <w:lang w:val="en-US" w:eastAsia="zh-CN"/>
              </w:rPr>
              <w:t>3.招聘录用人员应为2027年应届毕业生。</w:t>
            </w:r>
          </w:p>
          <w:p>
            <w:pPr>
              <w:keepNext w:val="0"/>
              <w:keepLines w:val="0"/>
              <w:widowControl/>
              <w:suppressLineNumbers w:val="0"/>
              <w:jc w:val="left"/>
              <w:textAlignment w:val="center"/>
              <w:rPr>
                <w:rFonts w:hint="eastAsia"/>
                <w:lang w:val="en-US" w:eastAsia="zh-CN"/>
              </w:rPr>
            </w:pPr>
            <w:r>
              <w:rPr>
                <w:rFonts w:hint="eastAsia"/>
                <w:lang w:val="en-US" w:eastAsia="zh-CN"/>
              </w:rPr>
              <w:t>对毕业后户口、档案、组织关系仍保留在原毕业学校，或保留在各级毕业生就业主管部门（毕业生就业指导服务中心）、各级人才交流服务机构和各级公共就业服务机构，且毕业至今从未与其他单位建立劳动关系的2026年境内外高校毕业生，可以按照2027年应届毕业生对待。</w:t>
            </w:r>
          </w:p>
          <w:p>
            <w:pPr>
              <w:keepNext w:val="0"/>
              <w:keepLines w:val="0"/>
              <w:widowControl/>
              <w:suppressLineNumbers w:val="0"/>
              <w:jc w:val="left"/>
              <w:textAlignment w:val="center"/>
              <w:rPr>
                <w:rFonts w:hint="eastAsia"/>
                <w:lang w:val="en-US" w:eastAsia="zh-CN"/>
              </w:rPr>
            </w:pPr>
            <w:r>
              <w:rPr>
                <w:rFonts w:hint="eastAsia"/>
                <w:lang w:val="en-US" w:eastAsia="zh-CN"/>
              </w:rPr>
              <w:t>4.境内高校应届毕业生须在2027年7月31日前毕业，报到时须获得国家认可的与最高学历对应的毕业证和与最高学历对应的学位证。</w:t>
            </w:r>
          </w:p>
          <w:p>
            <w:pPr>
              <w:keepNext w:val="0"/>
              <w:keepLines w:val="0"/>
              <w:widowControl/>
              <w:suppressLineNumbers w:val="0"/>
              <w:jc w:val="left"/>
              <w:textAlignment w:val="center"/>
              <w:rPr>
                <w:rFonts w:hint="eastAsia"/>
                <w:lang w:val="en-US" w:eastAsia="zh-CN"/>
              </w:rPr>
            </w:pPr>
            <w:r>
              <w:rPr>
                <w:rFonts w:hint="eastAsia"/>
                <w:lang w:val="en-US" w:eastAsia="zh-CN"/>
              </w:rPr>
              <w:t>5.境外高校应届毕业生须在2026</w:t>
            </w:r>
            <w:bookmarkStart w:id="0" w:name="_GoBack"/>
            <w:bookmarkEnd w:id="0"/>
            <w:r>
              <w:rPr>
                <w:rFonts w:hint="eastAsia"/>
                <w:lang w:val="en-US" w:eastAsia="zh-CN"/>
              </w:rPr>
              <w:t>年1月1日至2027年7月31日期间毕业，报到时须获得与最高学历对应的毕业证和与最高学历对应的学位证，以及国家教育部留学服务中心出具的学历（学位）认证，并须为初次就业人员。</w:t>
            </w:r>
          </w:p>
          <w:p>
            <w:pPr>
              <w:keepNext w:val="0"/>
              <w:keepLines w:val="0"/>
              <w:widowControl/>
              <w:suppressLineNumbers w:val="0"/>
              <w:jc w:val="left"/>
              <w:textAlignment w:val="center"/>
              <w:rPr>
                <w:rFonts w:hint="eastAsia" w:ascii="Times New Roman" w:hAnsi="Times New Roman" w:eastAsia="宋体" w:cs="Times New Roman"/>
                <w:lang w:val="en-US" w:eastAsia="zh-CN"/>
              </w:rPr>
            </w:pPr>
            <w:r>
              <w:rPr>
                <w:rFonts w:hint="eastAsia"/>
                <w:lang w:val="en-US" w:eastAsia="zh-CN"/>
              </w:rPr>
              <w:t>6.境内高校应届毕业生的毕业时间以毕业证书落款时间为准；境外高校毕业生的毕业时间以国家教育部留学服务中心出具的学历（</w:t>
            </w:r>
            <w:r>
              <w:rPr>
                <w:rFonts w:hint="eastAsia" w:ascii="Times New Roman" w:hAnsi="Times New Roman" w:eastAsia="宋体" w:cs="Times New Roman"/>
                <w:lang w:val="en-US" w:eastAsia="zh-CN"/>
              </w:rPr>
              <w:t>学位）认证上的毕业时间为准。</w:t>
            </w:r>
            <w:r>
              <w:rPr>
                <w:rFonts w:hint="eastAsia" w:ascii="Times New Roman" w:hAnsi="Times New Roman" w:eastAsia="宋体" w:cs="Times New Roman"/>
                <w:lang w:val="en-US" w:eastAsia="zh-CN"/>
              </w:rPr>
              <w:br w:type="textWrapping"/>
            </w:r>
            <w:r>
              <w:rPr>
                <w:rFonts w:hint="eastAsia" w:ascii="Times New Roman" w:hAnsi="Times New Roman" w:eastAsia="宋体" w:cs="Times New Roman"/>
                <w:lang w:val="en-US" w:eastAsia="zh-CN"/>
              </w:rPr>
              <w:t>7.符合中国工商银行、工银投资亲属回避相关规定。</w:t>
            </w:r>
          </w:p>
          <w:p>
            <w:pPr>
              <w:keepNext w:val="0"/>
              <w:keepLines w:val="0"/>
              <w:widowControl/>
              <w:suppressLineNumbers w:val="0"/>
              <w:jc w:val="left"/>
              <w:textAlignment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8.不存在涉嫌违纪违法正在接受有关机关审查，尚未作出结论的情况；</w:t>
            </w:r>
          </w:p>
          <w:p>
            <w:pPr>
              <w:keepNext w:val="0"/>
              <w:keepLines w:val="0"/>
              <w:widowControl/>
              <w:suppressLineNumbers w:val="0"/>
              <w:jc w:val="left"/>
              <w:textAlignment w:val="center"/>
              <w:rPr>
                <w:rFonts w:hint="eastAsia"/>
              </w:rPr>
            </w:pPr>
            <w:r>
              <w:rPr>
                <w:rFonts w:hint="eastAsia" w:ascii="Times New Roman" w:hAnsi="Times New Roman" w:eastAsia="宋体" w:cs="Times New Roman"/>
                <w:lang w:val="en-US" w:eastAsia="zh-CN"/>
              </w:rPr>
              <w:t>9.无违法犯罪，被依法追究刑事责任的情况。</w:t>
            </w:r>
          </w:p>
        </w:tc>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1.境内高校毕业生须具有国家统招的普通高等院校大学本科（含）以上学历、学位。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2.境外高校毕业生须具有教育部认可的境外正规高等院校大学本科（含）以上学历、学位。</w:t>
            </w:r>
          </w:p>
        </w:tc>
        <w:tc>
          <w:tcPr>
            <w:tcW w:w="55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具有良好的英语能力，具体如下：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修语种为英语的，须通过国家大学英语四级（CET4）考试（成绩在425分及以上），或托业（TOEIC）听读公开考试630分及以上，或新托福（TOEFL-IBT）考试75分及以上，或雅思（IELTS）考试5.5分及以上。主修语种为其他外语的，应通过该语种相应等级的外语水平考试。</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2.英语相关专业毕业生应至少达到专业英语四级（含）以上水平；其他外语相关专业毕业生应通过该语种相应的外语水平考试（如专业四级、八级等）。</w:t>
            </w:r>
          </w:p>
        </w:tc>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以经济金融类，计算机、电子信息等信息科技类，及工程、制造、数学、统计学、物理学等理学类、工学类专业背景为主。可根据需要招录通信、能源、化工、航运、轮机等相关行业的对口专业。</w:t>
            </w:r>
          </w:p>
        </w:tc>
        <w:tc>
          <w:tcPr>
            <w:tcW w:w="34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1.具有较强的学习适应能力、研究能力、抗压能力和团队协作能力，具有钻研精神和创新意识。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2.具备较强的综合分析、判断决策、人际影响与团队领导能力，具有挑战精神、成就欲望和管理潜质，愿意承担具有挑战性的工作任务。</w:t>
            </w:r>
          </w:p>
        </w:tc>
        <w:tc>
          <w:tcPr>
            <w:tcW w:w="44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在校期间获得相关科研成果或在相关专业期刊上发表过著作，以及校级（含）以上优秀学生干部、三好学生、优秀毕业生、优秀奖学金等荣誉及奖励获得者，以及拥有社团负责人经历、金融行业相关实习经历者，可予以优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2.擅长使用R、Python、SAS等数据统计分析语言进行数据分析挖掘者，可予以优先考虑。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工银投资-专业英才-工银资本投募资岗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w:t>
            </w:r>
          </w:p>
        </w:tc>
        <w:tc>
          <w:tcPr>
            <w:tcW w:w="80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142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55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9"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工银投资-专业英才-风控岗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南京</w:t>
            </w:r>
          </w:p>
        </w:tc>
        <w:tc>
          <w:tcPr>
            <w:tcW w:w="80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风控类人才储备。目标定位成为债转股及股权投资项目实施推进中所涉及的风险管理、审查审批、资产评估、法律审查、投后管理、内审内控等业务领域相关岗位专业人才。</w:t>
            </w:r>
          </w:p>
        </w:tc>
        <w:tc>
          <w:tcPr>
            <w:tcW w:w="142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55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工银投资-专业英才-工银资本风控岗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w:t>
            </w:r>
          </w:p>
        </w:tc>
        <w:tc>
          <w:tcPr>
            <w:tcW w:w="80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142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55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6"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工银投资-专业英才-综合岗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南京</w:t>
            </w:r>
          </w:p>
        </w:tc>
        <w:tc>
          <w:tcPr>
            <w:tcW w:w="80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综合类人才储备。目标定位成为日常经营中所涉及的财务会计、人力资源、教育培训、公司治理、党建宣传、办公文秘、综合管理、纪检监察等综合管理领域相关岗位专业人才。</w:t>
            </w:r>
          </w:p>
        </w:tc>
        <w:tc>
          <w:tcPr>
            <w:tcW w:w="142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55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atLeast"/>
        </w:trPr>
        <w:tc>
          <w:tcPr>
            <w:tcW w:w="4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工银投资-专业英才-工银资本综合岗</w:t>
            </w:r>
          </w:p>
        </w:tc>
        <w:tc>
          <w:tcPr>
            <w:tcW w:w="27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w:t>
            </w:r>
          </w:p>
        </w:tc>
        <w:tc>
          <w:tcPr>
            <w:tcW w:w="807"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1"/>
                <w:szCs w:val="21"/>
                <w:u w:val="none"/>
              </w:rPr>
            </w:pPr>
          </w:p>
        </w:tc>
        <w:tc>
          <w:tcPr>
            <w:tcW w:w="142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559"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34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4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r>
    </w:tbl>
    <w:p/>
    <w:p/>
    <w:sectPr>
      <w:pgSz w:w="16838" w:h="11906" w:orient="landscape"/>
      <w:pgMar w:top="1757" w:right="1417" w:bottom="1757" w:left="1417" w:header="851" w:footer="992" w:gutter="0"/>
      <w:pgBorders w:offsetFrom="page">
        <w:top w:val="none" w:sz="0" w:space="0"/>
        <w:left w:val="none" w:sz="0" w:space="0"/>
        <w:bottom w:val="none" w:sz="0" w:space="0"/>
        <w:right w:val="none" w:sz="0" w:space="0"/>
      </w:pgBorders>
      <w:pgNumType w:fmt="decimal"/>
      <w:cols w:space="72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7465E6B"/>
    <w:rsid w:val="EDBF5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40" w:lineRule="exact"/>
      <w:jc w:val="center"/>
    </w:pPr>
    <w:rPr>
      <w:rFonts w:hAnsi="宋体"/>
      <w:szCs w:val="32"/>
    </w:rPr>
  </w:style>
  <w:style w:type="paragraph" w:styleId="3">
    <w:name w:val="footer"/>
    <w:basedOn w:val="1"/>
    <w:qFormat/>
    <w:uiPriority w:val="99"/>
    <w:pPr>
      <w:tabs>
        <w:tab w:val="center" w:pos="4153"/>
        <w:tab w:val="right" w:pos="8306"/>
      </w:tabs>
      <w:snapToGrid w:val="0"/>
      <w:jc w:val="left"/>
    </w:pPr>
    <w:rPr>
      <w:sz w:val="18"/>
    </w:rPr>
  </w:style>
  <w:style w:type="paragraph" w:customStyle="1" w:styleId="6">
    <w:name w:val="p0"/>
    <w:basedOn w:val="1"/>
    <w:qFormat/>
    <w:uiPriority w:val="0"/>
    <w:pPr>
      <w:widowControl/>
    </w:pPr>
    <w:rPr>
      <w:rFonts w:ascii="仿宋_GB2312" w:hAnsi="宋体" w:eastAsia="仿宋_GB2312" w:cs="宋体"/>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Office_11.8.2.11073_F1E327BC-269C-435d-A152-05C5408002CA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传入的名字</cp:lastModifiedBy>
  <dcterms:modified xsi:type="dcterms:W3CDTF">2026-09-02T07:55:38Z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2052-11.8.2.11073</vt:lpwstr>
  </property>
  <property fmtid="{D5CDD505-2E9C-101B-9397-08002B2CF9AE}" pid="3" name="ICV">
    <vt:lpwstr>F984B7ABA9995C2015CC976A5AFE07CC</vt:lpwstr>
  </property>
</Properties>
</file>