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34B7C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24"/>
          <w:lang w:val="en-US" w:eastAsia="zh-CN"/>
        </w:rPr>
      </w:pPr>
      <w:r>
        <w:rPr>
          <w:rFonts w:hint="eastAsia" w:ascii="黑体" w:hAnsi="黑体" w:eastAsia="黑体" w:cs="黑体"/>
          <w:sz w:val="32"/>
          <w:szCs w:val="24"/>
        </w:rPr>
        <w:t>附件</w:t>
      </w:r>
      <w:r>
        <w:rPr>
          <w:rFonts w:hint="eastAsia" w:ascii="黑体" w:hAnsi="黑体" w:eastAsia="黑体" w:cs="黑体"/>
          <w:sz w:val="32"/>
          <w:szCs w:val="24"/>
          <w:lang w:val="en-US" w:eastAsia="zh-CN"/>
        </w:rPr>
        <w:t>3</w:t>
      </w:r>
      <w:bookmarkStart w:id="0" w:name="_GoBack"/>
      <w:bookmarkEnd w:id="0"/>
    </w:p>
    <w:p w14:paraId="0E4E197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方正小标宋简体" w:eastAsia="方正小标宋简体"/>
          <w:sz w:val="44"/>
          <w:szCs w:val="24"/>
        </w:rPr>
      </w:pPr>
    </w:p>
    <w:p w14:paraId="2F78D76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sz w:val="44"/>
          <w:szCs w:val="24"/>
        </w:rPr>
      </w:pPr>
      <w:r>
        <w:rPr>
          <w:rFonts w:ascii="方正小标宋简体" w:eastAsia="方正小标宋简体"/>
          <w:sz w:val="44"/>
          <w:szCs w:val="24"/>
        </w:rPr>
        <w:t>202</w:t>
      </w:r>
      <w:r>
        <w:rPr>
          <w:rFonts w:hint="eastAsia" w:ascii="方正小标宋简体" w:eastAsia="方正小标宋简体"/>
          <w:sz w:val="44"/>
          <w:szCs w:val="24"/>
          <w:lang w:val="en-US" w:eastAsia="zh-CN"/>
        </w:rPr>
        <w:t>6</w:t>
      </w:r>
      <w:r>
        <w:rPr>
          <w:rFonts w:hint="eastAsia" w:ascii="方正小标宋简体" w:eastAsia="方正小标宋简体"/>
          <w:sz w:val="44"/>
          <w:szCs w:val="24"/>
        </w:rPr>
        <w:t>年烟台市市直事业单位竞争性选调</w:t>
      </w:r>
    </w:p>
    <w:p w14:paraId="336AAEA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仿宋_GB2312" w:eastAsia="仿宋_GB2312"/>
          <w:sz w:val="32"/>
          <w:szCs w:val="24"/>
        </w:rPr>
      </w:pPr>
      <w:r>
        <w:rPr>
          <w:rFonts w:hint="eastAsia" w:ascii="方正小标宋简体" w:eastAsia="方正小标宋简体"/>
          <w:sz w:val="44"/>
          <w:szCs w:val="24"/>
        </w:rPr>
        <w:t>工作人员有关问题解答</w:t>
      </w:r>
    </w:p>
    <w:p w14:paraId="33F491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sz w:val="32"/>
          <w:szCs w:val="24"/>
        </w:rPr>
      </w:pPr>
    </w:p>
    <w:p w14:paraId="6D6FE60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sz w:val="32"/>
          <w:szCs w:val="24"/>
          <w:highlight w:val="none"/>
        </w:rPr>
      </w:pPr>
      <w:r>
        <w:rPr>
          <w:rFonts w:hint="eastAsia" w:ascii="黑体" w:hAnsi="黑体" w:eastAsia="黑体"/>
          <w:sz w:val="32"/>
          <w:szCs w:val="24"/>
          <w:highlight w:val="none"/>
        </w:rPr>
        <w:t>1.</w:t>
      </w:r>
      <w:r>
        <w:rPr>
          <w:rFonts w:hint="eastAsia" w:ascii="黑体" w:hAnsi="黑体" w:eastAsia="黑体"/>
          <w:sz w:val="32"/>
          <w:szCs w:val="24"/>
          <w:highlight w:val="none"/>
          <w:lang w:val="en-US" w:eastAsia="zh-CN"/>
        </w:rPr>
        <w:t>非</w:t>
      </w:r>
      <w:r>
        <w:rPr>
          <w:rFonts w:hint="eastAsia" w:ascii="黑体" w:hAnsi="黑体" w:eastAsia="黑体"/>
          <w:sz w:val="32"/>
          <w:szCs w:val="24"/>
          <w:highlight w:val="none"/>
        </w:rPr>
        <w:t>烟台市公务员和参照公务员法管理机关（单位）、事业单位工作人员能否报考？</w:t>
      </w:r>
    </w:p>
    <w:p w14:paraId="04BF6024">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ascii="仿宋_GB2312" w:eastAsia="仿宋_GB2312"/>
          <w:sz w:val="32"/>
          <w:szCs w:val="24"/>
          <w:highlight w:val="none"/>
        </w:rPr>
      </w:pPr>
      <w:r>
        <w:rPr>
          <w:rFonts w:hint="eastAsia" w:ascii="仿宋_GB2312" w:eastAsia="仿宋_GB2312"/>
          <w:sz w:val="32"/>
          <w:szCs w:val="24"/>
          <w:highlight w:val="none"/>
        </w:rPr>
        <w:t>不能报考。</w:t>
      </w:r>
    </w:p>
    <w:p w14:paraId="47A3815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sz w:val="32"/>
          <w:szCs w:val="24"/>
          <w:highlight w:val="none"/>
        </w:rPr>
      </w:pPr>
      <w:r>
        <w:rPr>
          <w:rFonts w:hint="eastAsia" w:ascii="黑体" w:hAnsi="黑体" w:eastAsia="黑体"/>
          <w:sz w:val="32"/>
          <w:szCs w:val="24"/>
          <w:highlight w:val="none"/>
        </w:rPr>
        <w:t>2.关于2年以上机关事业单位工作人员经历的界定应如何理解？</w:t>
      </w:r>
    </w:p>
    <w:p w14:paraId="0754B79A">
      <w:pPr>
        <w:pStyle w:val="2"/>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eastAsia="仿宋_GB2312"/>
          <w:sz w:val="32"/>
          <w:szCs w:val="24"/>
          <w:highlight w:val="none"/>
        </w:rPr>
      </w:pPr>
      <w:r>
        <w:rPr>
          <w:rFonts w:hint="eastAsia" w:ascii="仿宋_GB2312" w:eastAsia="仿宋_GB2312"/>
          <w:sz w:val="32"/>
          <w:szCs w:val="24"/>
          <w:highlight w:val="none"/>
        </w:rPr>
        <w:t>自到单位报到之日起至</w:t>
      </w:r>
      <w:r>
        <w:rPr>
          <w:rFonts w:ascii="仿宋_GB2312" w:eastAsia="仿宋_GB2312"/>
          <w:sz w:val="32"/>
          <w:szCs w:val="24"/>
          <w:highlight w:val="none"/>
        </w:rPr>
        <w:t>202</w:t>
      </w:r>
      <w:r>
        <w:rPr>
          <w:rFonts w:hint="eastAsia" w:ascii="仿宋_GB2312" w:eastAsia="仿宋_GB2312"/>
          <w:sz w:val="32"/>
          <w:szCs w:val="24"/>
          <w:highlight w:val="none"/>
          <w:lang w:val="en-US" w:eastAsia="zh-CN"/>
        </w:rPr>
        <w:t>6</w:t>
      </w:r>
      <w:r>
        <w:rPr>
          <w:rFonts w:hint="eastAsia" w:ascii="仿宋_GB2312" w:eastAsia="仿宋_GB2312"/>
          <w:sz w:val="32"/>
          <w:szCs w:val="24"/>
          <w:highlight w:val="none"/>
        </w:rPr>
        <w:t>年</w:t>
      </w:r>
      <w:r>
        <w:rPr>
          <w:rFonts w:hint="eastAsia" w:ascii="仿宋_GB2312" w:eastAsia="仿宋_GB2312"/>
          <w:sz w:val="32"/>
          <w:szCs w:val="24"/>
          <w:highlight w:val="none"/>
          <w:lang w:val="en-US" w:eastAsia="zh-CN"/>
        </w:rPr>
        <w:t>8</w:t>
      </w:r>
      <w:r>
        <w:rPr>
          <w:rFonts w:hint="eastAsia" w:ascii="仿宋_GB2312" w:eastAsia="仿宋_GB2312"/>
          <w:sz w:val="32"/>
          <w:szCs w:val="24"/>
          <w:highlight w:val="none"/>
        </w:rPr>
        <w:t>月止，足年足月累计时间满</w:t>
      </w:r>
      <w:r>
        <w:rPr>
          <w:rFonts w:ascii="仿宋_GB2312" w:eastAsia="仿宋_GB2312"/>
          <w:sz w:val="32"/>
          <w:szCs w:val="24"/>
          <w:highlight w:val="none"/>
        </w:rPr>
        <w:t>2</w:t>
      </w:r>
      <w:r>
        <w:rPr>
          <w:rFonts w:hint="eastAsia" w:ascii="仿宋_GB2312" w:eastAsia="仿宋_GB2312"/>
          <w:sz w:val="32"/>
          <w:szCs w:val="24"/>
          <w:highlight w:val="none"/>
        </w:rPr>
        <w:t>年。</w:t>
      </w:r>
    </w:p>
    <w:p w14:paraId="7487372F">
      <w:pPr>
        <w:pStyle w:val="2"/>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Times New Roman"/>
          <w:kern w:val="2"/>
          <w:sz w:val="32"/>
          <w:szCs w:val="24"/>
          <w:highlight w:val="none"/>
          <w:lang w:val="en-US" w:eastAsia="zh-CN" w:bidi="ar-SA"/>
        </w:rPr>
      </w:pPr>
      <w:r>
        <w:rPr>
          <w:rFonts w:hint="eastAsia" w:ascii="黑体" w:hAnsi="黑体" w:eastAsia="黑体" w:cs="Times New Roman"/>
          <w:kern w:val="2"/>
          <w:sz w:val="32"/>
          <w:szCs w:val="24"/>
          <w:highlight w:val="none"/>
          <w:lang w:val="en-US" w:eastAsia="zh-CN" w:bidi="ar-SA"/>
        </w:rPr>
        <w:t>3.资格条件中要求的各项资质（资格）截止到什么时间？</w:t>
      </w:r>
    </w:p>
    <w:p w14:paraId="55F8DF3A">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 w:eastAsia="仿宋_GB2312"/>
          <w:kern w:val="0"/>
          <w:sz w:val="32"/>
          <w:szCs w:val="24"/>
          <w:highlight w:val="none"/>
        </w:rPr>
      </w:pPr>
      <w:r>
        <w:rPr>
          <w:rFonts w:hint="eastAsia" w:ascii="仿宋_GB2312" w:hAnsi="Times New Roman" w:eastAsia="仿宋_GB2312" w:cs="Times New Roman"/>
          <w:kern w:val="2"/>
          <w:sz w:val="32"/>
          <w:szCs w:val="24"/>
          <w:highlight w:val="none"/>
          <w:lang w:val="en-US" w:eastAsia="zh-CN" w:bidi="ar-SA"/>
        </w:rPr>
        <w:t>各项资质（资格）如学历、学位</w:t>
      </w:r>
      <w:r>
        <w:rPr>
          <w:rFonts w:hint="eastAsia" w:ascii="仿宋_GB2312" w:eastAsia="仿宋_GB2312" w:cs="Times New Roman"/>
          <w:kern w:val="2"/>
          <w:sz w:val="32"/>
          <w:szCs w:val="24"/>
          <w:highlight w:val="none"/>
          <w:lang w:val="en-US" w:eastAsia="zh-CN" w:bidi="ar-SA"/>
        </w:rPr>
        <w:t>、</w:t>
      </w:r>
      <w:r>
        <w:rPr>
          <w:rFonts w:hint="eastAsia" w:ascii="仿宋_GB2312" w:hAnsi="Times New Roman" w:eastAsia="仿宋_GB2312" w:cs="Times New Roman"/>
          <w:kern w:val="2"/>
          <w:sz w:val="32"/>
          <w:szCs w:val="24"/>
          <w:highlight w:val="none"/>
          <w:lang w:val="en-US" w:eastAsia="zh-CN" w:bidi="ar-SA"/>
        </w:rPr>
        <w:t>资格证书等</w:t>
      </w:r>
      <w:r>
        <w:rPr>
          <w:rFonts w:hint="eastAsia" w:ascii="仿宋_GB2312" w:hAnsi="仿宋" w:eastAsia="仿宋_GB2312"/>
          <w:kern w:val="0"/>
          <w:sz w:val="32"/>
          <w:szCs w:val="24"/>
          <w:highlight w:val="none"/>
        </w:rPr>
        <w:t>须在报名</w:t>
      </w:r>
      <w:r>
        <w:rPr>
          <w:rFonts w:hint="eastAsia" w:ascii="仿宋_GB2312" w:hAnsi="仿宋" w:eastAsia="仿宋_GB2312"/>
          <w:kern w:val="0"/>
          <w:sz w:val="32"/>
          <w:szCs w:val="24"/>
          <w:highlight w:val="none"/>
          <w:lang w:val="en-US" w:eastAsia="zh-CN"/>
        </w:rPr>
        <w:t>截止日期</w:t>
      </w:r>
      <w:r>
        <w:rPr>
          <w:rFonts w:hint="eastAsia" w:ascii="仿宋_GB2312" w:hAnsi="仿宋" w:eastAsia="仿宋_GB2312"/>
          <w:kern w:val="0"/>
          <w:sz w:val="32"/>
          <w:szCs w:val="24"/>
          <w:highlight w:val="none"/>
        </w:rPr>
        <w:t>前取得。</w:t>
      </w:r>
    </w:p>
    <w:p w14:paraId="6EF63A35">
      <w:pPr>
        <w:pStyle w:val="2"/>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Times New Roman"/>
          <w:kern w:val="2"/>
          <w:sz w:val="32"/>
          <w:szCs w:val="24"/>
          <w:highlight w:val="none"/>
          <w:lang w:val="en-US" w:eastAsia="zh-CN" w:bidi="ar-SA"/>
        </w:rPr>
      </w:pPr>
      <w:r>
        <w:rPr>
          <w:rFonts w:hint="eastAsia" w:ascii="黑体" w:hAnsi="黑体" w:eastAsia="黑体" w:cs="Times New Roman"/>
          <w:kern w:val="2"/>
          <w:sz w:val="32"/>
          <w:szCs w:val="24"/>
          <w:highlight w:val="none"/>
          <w:lang w:val="en-US" w:eastAsia="zh-CN" w:bidi="ar-SA"/>
        </w:rPr>
        <w:t>4.预备党员可以报考要求政治面貌为中共党员的职位吗？</w:t>
      </w:r>
    </w:p>
    <w:p w14:paraId="1BEFAD53">
      <w:pPr>
        <w:pStyle w:val="2"/>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highlight w:val="none"/>
        </w:rPr>
      </w:pPr>
      <w:r>
        <w:rPr>
          <w:rFonts w:hint="eastAsia" w:ascii="仿宋_GB2312" w:hAnsi="Times New Roman" w:eastAsia="仿宋_GB2312" w:cs="Times New Roman"/>
          <w:kern w:val="2"/>
          <w:sz w:val="32"/>
          <w:szCs w:val="24"/>
          <w:highlight w:val="none"/>
          <w:lang w:val="en-US" w:eastAsia="zh-CN" w:bidi="ar-SA"/>
        </w:rPr>
        <w:t>可以报考。</w:t>
      </w:r>
    </w:p>
    <w:p w14:paraId="06416971">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sz w:val="32"/>
          <w:szCs w:val="24"/>
          <w:highlight w:val="none"/>
        </w:rPr>
      </w:pPr>
      <w:r>
        <w:rPr>
          <w:rFonts w:hint="eastAsia" w:ascii="黑体" w:hAnsi="黑体" w:eastAsia="黑体"/>
          <w:sz w:val="32"/>
          <w:szCs w:val="24"/>
          <w:highlight w:val="none"/>
          <w:lang w:val="en-US" w:eastAsia="zh-CN"/>
        </w:rPr>
        <w:t>5</w:t>
      </w:r>
      <w:r>
        <w:rPr>
          <w:rFonts w:hint="eastAsia" w:ascii="黑体" w:hAnsi="黑体" w:eastAsia="黑体"/>
          <w:sz w:val="32"/>
          <w:szCs w:val="24"/>
          <w:highlight w:val="none"/>
        </w:rPr>
        <w:t>.如何界定报考人员所学专业？</w:t>
      </w:r>
    </w:p>
    <w:p w14:paraId="622BCD43">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eastAsia="仿宋_GB2312"/>
          <w:sz w:val="32"/>
          <w:szCs w:val="24"/>
          <w:highlight w:val="none"/>
          <w:lang w:eastAsia="zh-CN"/>
        </w:rPr>
      </w:pPr>
      <w:r>
        <w:rPr>
          <w:rFonts w:hint="eastAsia" w:eastAsia="仿宋_GB2312"/>
          <w:sz w:val="32"/>
          <w:szCs w:val="24"/>
          <w:highlight w:val="none"/>
        </w:rPr>
        <w:t>主要参考教育部制定的现行高等教育专业目录设置，以报考者所获国家承认的学历教育证书上注明的专业为准。其中，报考者在普通全日制高等学历教育阶段取得国家承认的辅修专业证书、双学位证书</w:t>
      </w:r>
      <w:r>
        <w:rPr>
          <w:rFonts w:hint="eastAsia" w:eastAsia="仿宋_GB2312"/>
          <w:sz w:val="32"/>
          <w:szCs w:val="24"/>
          <w:highlight w:val="none"/>
          <w:lang w:eastAsia="zh-CN"/>
        </w:rPr>
        <w:t>、</w:t>
      </w:r>
      <w:r>
        <w:rPr>
          <w:rFonts w:hint="eastAsia" w:eastAsia="仿宋_GB2312"/>
          <w:sz w:val="32"/>
          <w:szCs w:val="24"/>
          <w:highlight w:val="none"/>
        </w:rPr>
        <w:t>第二学士学位证书的，可与相应的毕业证书配合使用，依据辅修专业证书、双学位证书</w:t>
      </w:r>
      <w:r>
        <w:rPr>
          <w:rFonts w:hint="eastAsia" w:eastAsia="仿宋_GB2312"/>
          <w:sz w:val="32"/>
          <w:szCs w:val="24"/>
          <w:highlight w:val="none"/>
          <w:lang w:eastAsia="zh-CN"/>
        </w:rPr>
        <w:t>、第二学士学位证书</w:t>
      </w:r>
      <w:r>
        <w:rPr>
          <w:rFonts w:hint="eastAsia" w:eastAsia="仿宋_GB2312"/>
          <w:sz w:val="32"/>
          <w:szCs w:val="24"/>
          <w:highlight w:val="none"/>
        </w:rPr>
        <w:t>注明的专业报考。</w:t>
      </w:r>
    </w:p>
    <w:p w14:paraId="3097D75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sz w:val="32"/>
          <w:szCs w:val="24"/>
          <w:highlight w:val="none"/>
        </w:rPr>
      </w:pPr>
      <w:r>
        <w:rPr>
          <w:rFonts w:hint="eastAsia" w:ascii="黑体" w:hAnsi="黑体" w:eastAsia="黑体"/>
          <w:sz w:val="32"/>
          <w:szCs w:val="24"/>
          <w:highlight w:val="none"/>
          <w:lang w:val="en-US" w:eastAsia="zh-CN"/>
        </w:rPr>
        <w:t>6</w:t>
      </w:r>
      <w:r>
        <w:rPr>
          <w:rFonts w:hint="eastAsia" w:ascii="黑体" w:hAnsi="黑体" w:eastAsia="黑体"/>
          <w:sz w:val="32"/>
          <w:szCs w:val="24"/>
          <w:highlight w:val="none"/>
        </w:rPr>
        <w:t>.如何把握“以上”“以下”“以后”？</w:t>
      </w:r>
    </w:p>
    <w:p w14:paraId="2305B5CD">
      <w:pPr>
        <w:pStyle w:val="2"/>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Times New Roman"/>
          <w:kern w:val="2"/>
          <w:sz w:val="32"/>
          <w:szCs w:val="24"/>
          <w:highlight w:val="none"/>
          <w:lang w:val="en-US" w:eastAsia="zh-CN" w:bidi="ar-SA"/>
        </w:rPr>
      </w:pPr>
      <w:r>
        <w:rPr>
          <w:rFonts w:hint="eastAsia" w:ascii="仿宋_GB2312" w:eastAsia="仿宋_GB2312"/>
          <w:sz w:val="32"/>
          <w:szCs w:val="24"/>
          <w:highlight w:val="none"/>
        </w:rPr>
        <w:t>本次竞争性选调工作所称“以上</w:t>
      </w:r>
      <w:r>
        <w:rPr>
          <w:rFonts w:hint="eastAsia" w:ascii="仿宋_GB2312" w:eastAsia="仿宋_GB2312"/>
          <w:sz w:val="32"/>
          <w:szCs w:val="24"/>
          <w:highlight w:val="none"/>
          <w:lang w:eastAsia="zh-CN"/>
        </w:rPr>
        <w:t>”“</w:t>
      </w:r>
      <w:r>
        <w:rPr>
          <w:rFonts w:hint="eastAsia" w:ascii="仿宋_GB2312" w:eastAsia="仿宋_GB2312"/>
          <w:sz w:val="32"/>
          <w:szCs w:val="24"/>
          <w:highlight w:val="none"/>
        </w:rPr>
        <w:t>以下</w:t>
      </w:r>
      <w:r>
        <w:rPr>
          <w:rFonts w:hint="eastAsia" w:ascii="仿宋_GB2312" w:eastAsia="仿宋_GB2312"/>
          <w:sz w:val="32"/>
          <w:szCs w:val="24"/>
          <w:highlight w:val="none"/>
          <w:lang w:eastAsia="zh-CN"/>
        </w:rPr>
        <w:t>”“</w:t>
      </w:r>
      <w:r>
        <w:rPr>
          <w:rFonts w:hint="eastAsia" w:ascii="仿宋_GB2312" w:eastAsia="仿宋_GB2312"/>
          <w:sz w:val="32"/>
          <w:szCs w:val="24"/>
          <w:highlight w:val="none"/>
        </w:rPr>
        <w:t>以后”均包含本数。</w:t>
      </w:r>
    </w:p>
    <w:p w14:paraId="2C8C50B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黑体" w:hAnsi="黑体" w:eastAsia="黑体"/>
          <w:sz w:val="32"/>
          <w:szCs w:val="24"/>
          <w:highlight w:val="none"/>
        </w:rPr>
      </w:pPr>
      <w:r>
        <w:rPr>
          <w:rFonts w:hint="eastAsia" w:ascii="黑体" w:hAnsi="黑体" w:eastAsia="黑体"/>
          <w:sz w:val="32"/>
          <w:szCs w:val="24"/>
          <w:highlight w:val="none"/>
          <w:lang w:val="en-US" w:eastAsia="zh-CN"/>
        </w:rPr>
        <w:t>7</w:t>
      </w:r>
      <w:r>
        <w:rPr>
          <w:rFonts w:hint="eastAsia" w:ascii="黑体" w:hAnsi="黑体" w:eastAsia="黑体"/>
          <w:sz w:val="32"/>
          <w:szCs w:val="24"/>
          <w:highlight w:val="none"/>
        </w:rPr>
        <w:t>.公开选调人员对回避有什么要求？</w:t>
      </w:r>
    </w:p>
    <w:p w14:paraId="07679356">
      <w:pPr>
        <w:keepNext w:val="0"/>
        <w:keepLines w:val="0"/>
        <w:pageBreakBefore w:val="0"/>
        <w:widowControl w:val="0"/>
        <w:kinsoku/>
        <w:wordWrap/>
        <w:overflowPunct w:val="0"/>
        <w:topLinePunct w:val="0"/>
        <w:autoSpaceDE/>
        <w:autoSpaceDN/>
        <w:bidi w:val="0"/>
        <w:adjustRightInd/>
        <w:snapToGrid/>
        <w:spacing w:after="0" w:line="560" w:lineRule="exact"/>
        <w:ind w:firstLine="640" w:firstLineChars="200"/>
        <w:jc w:val="both"/>
        <w:textAlignment w:val="auto"/>
        <w:rPr>
          <w:rFonts w:hint="eastAsia" w:ascii="仿宋_GB2312" w:eastAsia="仿宋_GB2312"/>
          <w:color w:val="000000"/>
          <w:sz w:val="32"/>
          <w:szCs w:val="24"/>
          <w:highlight w:val="none"/>
        </w:rPr>
      </w:pPr>
      <w:r>
        <w:rPr>
          <w:rFonts w:hint="eastAsia" w:ascii="仿宋_GB2312" w:eastAsia="仿宋_GB2312"/>
          <w:color w:val="000000"/>
          <w:sz w:val="32"/>
          <w:szCs w:val="24"/>
          <w:highlight w:val="none"/>
          <w:lang w:val="en-US" w:eastAsia="zh-CN"/>
        </w:rPr>
        <w:t>（1）依据</w:t>
      </w:r>
      <w:r>
        <w:rPr>
          <w:rFonts w:hint="eastAsia" w:ascii="仿宋_GB2312" w:eastAsia="仿宋_GB2312"/>
          <w:color w:val="000000"/>
          <w:sz w:val="32"/>
          <w:szCs w:val="24"/>
          <w:highlight w:val="none"/>
        </w:rPr>
        <w:t>《事业单位人事管理回避规定》（人社部规〔</w:t>
      </w:r>
      <w:r>
        <w:rPr>
          <w:rFonts w:ascii="仿宋_GB2312" w:eastAsia="仿宋_GB2312"/>
          <w:color w:val="000000"/>
          <w:sz w:val="32"/>
          <w:szCs w:val="24"/>
          <w:highlight w:val="none"/>
        </w:rPr>
        <w:t>2019</w:t>
      </w:r>
      <w:r>
        <w:rPr>
          <w:rFonts w:hint="eastAsia" w:ascii="仿宋_GB2312" w:eastAsia="仿宋_GB2312"/>
          <w:color w:val="000000"/>
          <w:sz w:val="32"/>
          <w:szCs w:val="24"/>
          <w:highlight w:val="none"/>
        </w:rPr>
        <w:t>〕</w:t>
      </w:r>
      <w:r>
        <w:rPr>
          <w:rFonts w:ascii="仿宋_GB2312" w:eastAsia="仿宋_GB2312"/>
          <w:color w:val="000000"/>
          <w:sz w:val="32"/>
          <w:szCs w:val="24"/>
          <w:highlight w:val="none"/>
        </w:rPr>
        <w:t>1</w:t>
      </w:r>
      <w:r>
        <w:rPr>
          <w:rFonts w:hint="eastAsia" w:ascii="仿宋_GB2312" w:eastAsia="仿宋_GB2312"/>
          <w:color w:val="000000"/>
          <w:sz w:val="32"/>
          <w:szCs w:val="24"/>
          <w:highlight w:val="none"/>
        </w:rPr>
        <w:t>号）</w:t>
      </w:r>
      <w:r>
        <w:rPr>
          <w:rFonts w:hint="eastAsia" w:ascii="仿宋_GB2312" w:eastAsia="仿宋_GB2312"/>
          <w:color w:val="000000"/>
          <w:sz w:val="32"/>
          <w:szCs w:val="24"/>
          <w:highlight w:val="none"/>
          <w:lang w:val="en-US" w:eastAsia="zh-CN"/>
        </w:rPr>
        <w:t>，</w:t>
      </w:r>
      <w:r>
        <w:rPr>
          <w:rFonts w:hint="eastAsia" w:ascii="仿宋_GB2312" w:eastAsia="仿宋_GB2312"/>
          <w:color w:val="000000"/>
          <w:sz w:val="32"/>
          <w:szCs w:val="24"/>
          <w:highlight w:val="none"/>
        </w:rPr>
        <w:t>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14:paraId="477E8D02">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000000"/>
          <w:sz w:val="32"/>
          <w:szCs w:val="24"/>
          <w:highlight w:val="none"/>
        </w:rPr>
      </w:pPr>
      <w:r>
        <w:rPr>
          <w:rFonts w:hint="eastAsia" w:ascii="仿宋_GB2312" w:hAnsi="仿宋_GB2312" w:eastAsia="仿宋_GB2312" w:cs="仿宋_GB2312"/>
          <w:color w:val="000000"/>
          <w:sz w:val="32"/>
          <w:szCs w:val="24"/>
          <w:highlight w:val="none"/>
        </w:rPr>
        <w:t>①夫妻关系；</w:t>
      </w:r>
    </w:p>
    <w:p w14:paraId="7E5715F9">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000000"/>
          <w:sz w:val="32"/>
          <w:szCs w:val="24"/>
          <w:highlight w:val="none"/>
        </w:rPr>
      </w:pPr>
      <w:r>
        <w:rPr>
          <w:rFonts w:hint="eastAsia" w:ascii="仿宋_GB2312" w:hAnsi="仿宋_GB2312" w:eastAsia="仿宋_GB2312" w:cs="仿宋_GB2312"/>
          <w:color w:val="000000"/>
          <w:sz w:val="32"/>
          <w:szCs w:val="24"/>
          <w:highlight w:val="none"/>
        </w:rPr>
        <w:t>②直系血亲关系，包括祖父母、外祖父母、父母、子女、孙子女、外孙子女；</w:t>
      </w:r>
    </w:p>
    <w:p w14:paraId="51133F6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000000"/>
          <w:sz w:val="32"/>
          <w:szCs w:val="24"/>
          <w:highlight w:val="none"/>
        </w:rPr>
      </w:pPr>
      <w:r>
        <w:rPr>
          <w:rFonts w:hint="eastAsia" w:ascii="仿宋_GB2312" w:hAnsi="仿宋_GB2312" w:eastAsia="仿宋_GB2312" w:cs="仿宋_GB2312"/>
          <w:color w:val="000000"/>
          <w:sz w:val="32"/>
          <w:szCs w:val="24"/>
          <w:highlight w:val="none"/>
        </w:rPr>
        <w:t>③三代以内旁系血亲关系，包括叔伯姑舅姨、兄弟姐妹、堂兄弟姐妹、表兄弟姐妹、侄子女、甥子女；</w:t>
      </w:r>
    </w:p>
    <w:p w14:paraId="0568B2A6">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000000"/>
          <w:sz w:val="32"/>
          <w:szCs w:val="24"/>
          <w:highlight w:val="none"/>
        </w:rPr>
      </w:pPr>
      <w:r>
        <w:rPr>
          <w:rFonts w:hint="eastAsia" w:ascii="仿宋_GB2312" w:hAnsi="仿宋_GB2312" w:eastAsia="仿宋_GB2312" w:cs="仿宋_GB2312"/>
          <w:color w:val="000000"/>
          <w:sz w:val="32"/>
          <w:szCs w:val="24"/>
          <w:highlight w:val="none"/>
        </w:rPr>
        <w:t>④近姻亲关系，包括配偶的父母、配偶的兄弟姐妹及其配偶、子女的配偶及子女配偶的父母、三代以内旁系血亲的配偶；</w:t>
      </w:r>
    </w:p>
    <w:p w14:paraId="70C87B4B">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eastAsia="仿宋_GB2312"/>
          <w:color w:val="000000"/>
          <w:sz w:val="32"/>
          <w:szCs w:val="24"/>
          <w:highlight w:val="none"/>
        </w:rPr>
      </w:pPr>
      <w:r>
        <w:rPr>
          <w:rFonts w:hint="eastAsia" w:ascii="仿宋_GB2312" w:hAnsi="仿宋_GB2312" w:eastAsia="仿宋_GB2312" w:cs="仿宋_GB2312"/>
          <w:color w:val="000000"/>
          <w:sz w:val="32"/>
          <w:szCs w:val="24"/>
          <w:highlight w:val="none"/>
        </w:rPr>
        <w:t>⑤其他亲属关系，包括养父母子女、形成抚养关系的继父母子女及由此形成的直</w:t>
      </w:r>
      <w:r>
        <w:rPr>
          <w:rFonts w:hint="eastAsia" w:ascii="仿宋_GB2312" w:eastAsia="仿宋_GB2312"/>
          <w:color w:val="000000"/>
          <w:sz w:val="32"/>
          <w:szCs w:val="24"/>
          <w:highlight w:val="none"/>
        </w:rPr>
        <w:t>系血亲、三代以内旁系血亲和近姻亲关系。</w:t>
      </w:r>
    </w:p>
    <w:p w14:paraId="015CC1F5">
      <w:pPr>
        <w:keepNext w:val="0"/>
        <w:keepLines w:val="0"/>
        <w:pageBreakBefore w:val="0"/>
        <w:widowControl w:val="0"/>
        <w:kinsoku/>
        <w:wordWrap/>
        <w:overflowPunct/>
        <w:topLinePunct w:val="0"/>
        <w:autoSpaceDE/>
        <w:autoSpaceDN/>
        <w:bidi w:val="0"/>
        <w:adjustRightInd/>
        <w:snapToGrid/>
        <w:spacing w:after="0" w:line="560" w:lineRule="exact"/>
        <w:ind w:firstLine="640" w:firstLineChars="200"/>
        <w:jc w:val="both"/>
        <w:textAlignment w:val="auto"/>
        <w:rPr>
          <w:rFonts w:hint="default" w:ascii="仿宋_GB2312" w:eastAsia="仿宋_GB2312"/>
          <w:sz w:val="32"/>
          <w:szCs w:val="24"/>
          <w:highlight w:val="none"/>
          <w:u w:val="none"/>
          <w:lang w:val="en-US" w:eastAsia="zh-CN"/>
        </w:rPr>
      </w:pPr>
      <w:r>
        <w:rPr>
          <w:rFonts w:hint="eastAsia" w:ascii="仿宋_GB2312" w:hAnsi="仿宋_GB2312" w:eastAsia="仿宋_GB2312" w:cs="仿宋_GB2312"/>
          <w:sz w:val="32"/>
          <w:szCs w:val="24"/>
          <w:highlight w:val="none"/>
          <w:u w:val="none"/>
          <w:lang w:val="en-US" w:eastAsia="zh-CN"/>
        </w:rPr>
        <w:t>（2）除上述回避要求外，</w:t>
      </w:r>
      <w:r>
        <w:rPr>
          <w:rFonts w:hint="eastAsia" w:ascii="仿宋_GB2312" w:eastAsia="仿宋_GB2312"/>
          <w:sz w:val="32"/>
          <w:szCs w:val="24"/>
          <w:highlight w:val="none"/>
          <w:u w:val="none"/>
        </w:rPr>
        <w:t>对于选调岗位</w:t>
      </w:r>
      <w:r>
        <w:rPr>
          <w:rFonts w:hint="eastAsia" w:ascii="仿宋_GB2312" w:eastAsia="仿宋_GB2312"/>
          <w:sz w:val="32"/>
          <w:szCs w:val="24"/>
          <w:highlight w:val="none"/>
          <w:u w:val="none"/>
          <w:lang w:val="en-US" w:eastAsia="zh-CN"/>
        </w:rPr>
        <w:t>还</w:t>
      </w:r>
      <w:r>
        <w:rPr>
          <w:rFonts w:hint="eastAsia" w:ascii="仿宋_GB2312" w:eastAsia="仿宋_GB2312"/>
          <w:sz w:val="32"/>
          <w:szCs w:val="24"/>
          <w:highlight w:val="none"/>
          <w:u w:val="none"/>
        </w:rPr>
        <w:t>有其他回避要求的，</w:t>
      </w:r>
      <w:r>
        <w:rPr>
          <w:rFonts w:hint="eastAsia" w:ascii="仿宋_GB2312" w:eastAsia="仿宋_GB2312"/>
          <w:sz w:val="32"/>
          <w:szCs w:val="24"/>
          <w:highlight w:val="none"/>
          <w:u w:val="none"/>
          <w:lang w:val="en-US" w:eastAsia="zh-CN"/>
        </w:rPr>
        <w:t>应同时满足相应条件。</w:t>
      </w:r>
    </w:p>
    <w:p w14:paraId="0BB27B57">
      <w:pPr>
        <w:pStyle w:val="2"/>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黑体" w:hAnsi="黑体" w:eastAsia="黑体" w:cs="Times New Roman"/>
          <w:kern w:val="2"/>
          <w:sz w:val="32"/>
          <w:szCs w:val="24"/>
          <w:highlight w:val="none"/>
          <w:lang w:val="en-US" w:eastAsia="zh-CN" w:bidi="ar-SA"/>
        </w:rPr>
      </w:pPr>
      <w:r>
        <w:rPr>
          <w:rFonts w:hint="eastAsia" w:ascii="黑体" w:hAnsi="黑体" w:eastAsia="黑体" w:cs="Times New Roman"/>
          <w:kern w:val="2"/>
          <w:sz w:val="32"/>
          <w:szCs w:val="24"/>
          <w:highlight w:val="none"/>
          <w:lang w:val="en-US" w:eastAsia="zh-CN" w:bidi="ar-SA"/>
        </w:rPr>
        <w:t>8.竞争性选调资格审查工作由谁负责？</w:t>
      </w:r>
    </w:p>
    <w:p w14:paraId="3B91270C">
      <w:pPr>
        <w:pStyle w:val="2"/>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Times New Roman" w:eastAsia="仿宋_GB2312" w:cs="Times New Roman"/>
          <w:kern w:val="2"/>
          <w:sz w:val="32"/>
          <w:szCs w:val="24"/>
          <w:highlight w:val="none"/>
          <w:lang w:val="en-US" w:eastAsia="zh-CN" w:bidi="ar-SA"/>
        </w:rPr>
      </w:pPr>
      <w:r>
        <w:rPr>
          <w:rFonts w:hint="eastAsia" w:ascii="仿宋_GB2312" w:hAnsi="Times New Roman" w:eastAsia="仿宋_GB2312" w:cs="Times New Roman"/>
          <w:kern w:val="2"/>
          <w:sz w:val="32"/>
          <w:szCs w:val="24"/>
          <w:highlight w:val="none"/>
          <w:lang w:val="en-US" w:eastAsia="zh-CN" w:bidi="ar-SA"/>
        </w:rPr>
        <w:t>资格审查工作由</w:t>
      </w:r>
      <w:r>
        <w:rPr>
          <w:rFonts w:hint="eastAsia" w:ascii="仿宋_GB2312" w:eastAsia="仿宋_GB2312" w:cs="Times New Roman"/>
          <w:kern w:val="2"/>
          <w:sz w:val="32"/>
          <w:szCs w:val="24"/>
          <w:highlight w:val="none"/>
          <w:lang w:val="en-US" w:eastAsia="zh-CN" w:bidi="ar-SA"/>
        </w:rPr>
        <w:t>选调</w:t>
      </w:r>
      <w:r>
        <w:rPr>
          <w:rFonts w:hint="eastAsia" w:ascii="仿宋_GB2312" w:hAnsi="Times New Roman" w:eastAsia="仿宋_GB2312" w:cs="Times New Roman"/>
          <w:kern w:val="2"/>
          <w:sz w:val="32"/>
          <w:szCs w:val="24"/>
          <w:highlight w:val="none"/>
          <w:lang w:val="en-US" w:eastAsia="zh-CN" w:bidi="ar-SA"/>
        </w:rPr>
        <w:t>机关负责。报名期间，</w:t>
      </w:r>
      <w:r>
        <w:rPr>
          <w:rFonts w:hint="eastAsia" w:ascii="仿宋_GB2312" w:eastAsia="仿宋_GB2312" w:cs="Times New Roman"/>
          <w:kern w:val="2"/>
          <w:sz w:val="32"/>
          <w:szCs w:val="24"/>
          <w:highlight w:val="none"/>
          <w:lang w:val="en-US" w:eastAsia="zh-CN" w:bidi="ar-SA"/>
        </w:rPr>
        <w:t>选调</w:t>
      </w:r>
      <w:r>
        <w:rPr>
          <w:rFonts w:hint="eastAsia" w:ascii="仿宋_GB2312" w:hAnsi="Times New Roman" w:eastAsia="仿宋_GB2312" w:cs="Times New Roman"/>
          <w:kern w:val="2"/>
          <w:sz w:val="32"/>
          <w:szCs w:val="24"/>
          <w:highlight w:val="none"/>
          <w:lang w:val="en-US" w:eastAsia="zh-CN" w:bidi="ar-SA"/>
        </w:rPr>
        <w:t>机关根据报考资格条件对报考申请进行集中审查，确认考生是否具有报考资格。资格审查贯穿</w:t>
      </w:r>
      <w:r>
        <w:rPr>
          <w:rFonts w:hint="eastAsia" w:ascii="仿宋_GB2312" w:eastAsia="仿宋_GB2312" w:cs="Times New Roman"/>
          <w:kern w:val="2"/>
          <w:sz w:val="32"/>
          <w:szCs w:val="24"/>
          <w:highlight w:val="none"/>
          <w:lang w:val="en-US" w:eastAsia="zh-CN" w:bidi="ar-SA"/>
        </w:rPr>
        <w:t>竞争性选调</w:t>
      </w:r>
      <w:r>
        <w:rPr>
          <w:rFonts w:hint="eastAsia" w:ascii="仿宋_GB2312" w:hAnsi="Times New Roman" w:eastAsia="仿宋_GB2312" w:cs="Times New Roman"/>
          <w:kern w:val="2"/>
          <w:sz w:val="32"/>
          <w:szCs w:val="24"/>
          <w:highlight w:val="none"/>
          <w:lang w:val="en-US" w:eastAsia="zh-CN" w:bidi="ar-SA"/>
        </w:rPr>
        <w:t>全过程。在任一环节发现考生存在不符合报考资格条件情形的，</w:t>
      </w:r>
      <w:r>
        <w:rPr>
          <w:rFonts w:hint="eastAsia" w:ascii="仿宋_GB2312" w:eastAsia="仿宋_GB2312" w:cs="Times New Roman"/>
          <w:kern w:val="2"/>
          <w:sz w:val="32"/>
          <w:szCs w:val="24"/>
          <w:highlight w:val="none"/>
          <w:lang w:val="en-US" w:eastAsia="zh-CN" w:bidi="ar-SA"/>
        </w:rPr>
        <w:t>选调</w:t>
      </w:r>
      <w:r>
        <w:rPr>
          <w:rFonts w:hint="eastAsia" w:ascii="仿宋_GB2312" w:hAnsi="Times New Roman" w:eastAsia="仿宋_GB2312" w:cs="Times New Roman"/>
          <w:kern w:val="2"/>
          <w:sz w:val="32"/>
          <w:szCs w:val="24"/>
          <w:highlight w:val="none"/>
          <w:lang w:val="en-US" w:eastAsia="zh-CN" w:bidi="ar-SA"/>
        </w:rPr>
        <w:t>机关均可取消其</w:t>
      </w:r>
      <w:r>
        <w:rPr>
          <w:rFonts w:hint="eastAsia" w:ascii="仿宋_GB2312" w:eastAsia="仿宋_GB2312" w:cs="Times New Roman"/>
          <w:kern w:val="2"/>
          <w:sz w:val="32"/>
          <w:szCs w:val="24"/>
          <w:highlight w:val="none"/>
          <w:lang w:val="en-US" w:eastAsia="zh-CN" w:bidi="ar-SA"/>
        </w:rPr>
        <w:t>选调</w:t>
      </w:r>
      <w:r>
        <w:rPr>
          <w:rFonts w:hint="eastAsia" w:ascii="仿宋_GB2312" w:hAnsi="Times New Roman" w:eastAsia="仿宋_GB2312" w:cs="Times New Roman"/>
          <w:kern w:val="2"/>
          <w:sz w:val="32"/>
          <w:szCs w:val="24"/>
          <w:highlight w:val="none"/>
          <w:lang w:val="en-US" w:eastAsia="zh-CN" w:bidi="ar-SA"/>
        </w:rPr>
        <w:t>资格。报名时符合资格条件，报名后由于工作单位或者职务发生变化，导致报名人员处于试用期等情形的，</w:t>
      </w:r>
      <w:r>
        <w:rPr>
          <w:rFonts w:hint="eastAsia" w:ascii="仿宋_GB2312" w:eastAsia="仿宋_GB2312" w:cs="Times New Roman"/>
          <w:kern w:val="2"/>
          <w:sz w:val="32"/>
          <w:szCs w:val="24"/>
          <w:highlight w:val="none"/>
          <w:lang w:val="en-US" w:eastAsia="zh-CN" w:bidi="ar-SA"/>
        </w:rPr>
        <w:t>选调</w:t>
      </w:r>
      <w:r>
        <w:rPr>
          <w:rFonts w:hint="eastAsia" w:ascii="仿宋_GB2312" w:hAnsi="Times New Roman" w:eastAsia="仿宋_GB2312" w:cs="Times New Roman"/>
          <w:kern w:val="2"/>
          <w:sz w:val="32"/>
          <w:szCs w:val="24"/>
          <w:highlight w:val="none"/>
          <w:lang w:val="en-US" w:eastAsia="zh-CN" w:bidi="ar-SA"/>
        </w:rPr>
        <w:t>机关将终止其</w:t>
      </w:r>
      <w:r>
        <w:rPr>
          <w:rFonts w:hint="eastAsia" w:ascii="仿宋_GB2312" w:eastAsia="仿宋_GB2312" w:cs="Times New Roman"/>
          <w:kern w:val="2"/>
          <w:sz w:val="32"/>
          <w:szCs w:val="24"/>
          <w:highlight w:val="none"/>
          <w:lang w:val="en-US" w:eastAsia="zh-CN" w:bidi="ar-SA"/>
        </w:rPr>
        <w:t>选调</w:t>
      </w:r>
      <w:r>
        <w:rPr>
          <w:rFonts w:hint="eastAsia" w:ascii="仿宋_GB2312" w:hAnsi="Times New Roman" w:eastAsia="仿宋_GB2312" w:cs="Times New Roman"/>
          <w:kern w:val="2"/>
          <w:sz w:val="32"/>
          <w:szCs w:val="24"/>
          <w:highlight w:val="none"/>
          <w:lang w:val="en-US" w:eastAsia="zh-CN" w:bidi="ar-SA"/>
        </w:rPr>
        <w:t>程序。</w:t>
      </w:r>
    </w:p>
    <w:p w14:paraId="22BCABF1">
      <w:pPr>
        <w:keepNext w:val="0"/>
        <w:keepLines w:val="0"/>
        <w:pageBreakBefore w:val="0"/>
        <w:widowControl/>
        <w:tabs>
          <w:tab w:val="left" w:pos="2865"/>
        </w:tabs>
        <w:kinsoku/>
        <w:wordWrap/>
        <w:overflowPunct/>
        <w:topLinePunct w:val="0"/>
        <w:autoSpaceDE/>
        <w:autoSpaceDN/>
        <w:bidi w:val="0"/>
        <w:adjustRightInd/>
        <w:snapToGrid/>
        <w:spacing w:after="0" w:line="560" w:lineRule="exact"/>
        <w:ind w:firstLine="640" w:firstLineChars="200"/>
        <w:textAlignment w:val="auto"/>
        <w:rPr>
          <w:rFonts w:hint="eastAsia" w:ascii="Times New Roman" w:hAnsi="Times New Roman" w:eastAsia="仿宋_GB2312" w:cs="Times New Roman"/>
          <w:kern w:val="2"/>
          <w:sz w:val="32"/>
          <w:szCs w:val="32"/>
          <w:highlight w:val="none"/>
          <w:lang w:val="en-US" w:eastAsia="zh-CN" w:bidi="ar-SA"/>
        </w:rPr>
      </w:pPr>
    </w:p>
    <w:sectPr>
      <w:headerReference r:id="rId5" w:type="default"/>
      <w:footerReference r:id="rId6" w:type="default"/>
      <w:pgSz w:w="11906" w:h="16838"/>
      <w:pgMar w:top="2098" w:right="1474" w:bottom="1984" w:left="158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298DF">
    <w:pPr>
      <w:pStyle w:val="3"/>
      <w:framePr w:wrap="around" w:vAnchor="page" w:hAnchor="margin" w:xAlign="right" w:yAlign="outside"/>
      <w:rPr>
        <w:rStyle w:val="9"/>
      </w:rPr>
    </w:pPr>
  </w:p>
  <w:p w14:paraId="79F8018A">
    <w:pPr>
      <w:pStyle w:val="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40C36">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oNotHyphenateCaps/>
  <w:displayHorizontalDrawingGridEvery w:val="1"/>
  <w:displayVerticalDrawingGridEvery w:val="1"/>
  <w:noPunctuationKerning w:val="1"/>
  <w:characterSpacingControl w:val="doNotCompress"/>
  <w:noLineBreaksAfter w:lang="zh-CN" w:val="([{·‘“〈《「『【〔〖（．［｛￡￥"/>
  <w:noLineBreaksBefore w:lang="zh-CN" w:val="!),.:;?]}¨·ˇˉ―‖’”…∶、。〃々〉》」』】〕〗！＂＇），．：；？］｀｜｝～￠"/>
  <w:doNotValidateAgainstSchema/>
  <w:doNotDemarcateInvalidXml/>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NlMjJiODRjYmM1YWYyMmRmNzI5YTlhMDI5MzUzMjAifQ=="/>
  </w:docVars>
  <w:rsids>
    <w:rsidRoot w:val="00AD5FE7"/>
    <w:rsid w:val="000E3001"/>
    <w:rsid w:val="00253878"/>
    <w:rsid w:val="00300CBD"/>
    <w:rsid w:val="005E6762"/>
    <w:rsid w:val="00AD5FE7"/>
    <w:rsid w:val="00C41F1D"/>
    <w:rsid w:val="03C76446"/>
    <w:rsid w:val="04443AF4"/>
    <w:rsid w:val="0D8D79BE"/>
    <w:rsid w:val="0F5C575C"/>
    <w:rsid w:val="101302AB"/>
    <w:rsid w:val="1437237E"/>
    <w:rsid w:val="19C03CAA"/>
    <w:rsid w:val="1A8A5719"/>
    <w:rsid w:val="1B332E1D"/>
    <w:rsid w:val="214B077B"/>
    <w:rsid w:val="25215F42"/>
    <w:rsid w:val="2E271C28"/>
    <w:rsid w:val="2ED6619D"/>
    <w:rsid w:val="31114D05"/>
    <w:rsid w:val="33066AF8"/>
    <w:rsid w:val="33A95BAA"/>
    <w:rsid w:val="3ACF5B21"/>
    <w:rsid w:val="3E585B9D"/>
    <w:rsid w:val="429B77A9"/>
    <w:rsid w:val="42DB365B"/>
    <w:rsid w:val="43D24A0B"/>
    <w:rsid w:val="43D90D3F"/>
    <w:rsid w:val="44680C8C"/>
    <w:rsid w:val="44D76C70"/>
    <w:rsid w:val="451671E9"/>
    <w:rsid w:val="4B425DFD"/>
    <w:rsid w:val="4D822E40"/>
    <w:rsid w:val="50EC46A0"/>
    <w:rsid w:val="51142DCE"/>
    <w:rsid w:val="55143E7D"/>
    <w:rsid w:val="575651A9"/>
    <w:rsid w:val="5919023C"/>
    <w:rsid w:val="5EE64386"/>
    <w:rsid w:val="60716BAF"/>
    <w:rsid w:val="60824A5C"/>
    <w:rsid w:val="622E7CB6"/>
    <w:rsid w:val="655365DE"/>
    <w:rsid w:val="66911854"/>
    <w:rsid w:val="69D03061"/>
    <w:rsid w:val="69E272B9"/>
    <w:rsid w:val="6C85781C"/>
    <w:rsid w:val="6DB947BA"/>
    <w:rsid w:val="6E6A6F57"/>
    <w:rsid w:val="6F694B09"/>
    <w:rsid w:val="70DA5820"/>
    <w:rsid w:val="73E2612E"/>
    <w:rsid w:val="74DF61C6"/>
    <w:rsid w:val="755D36E9"/>
    <w:rsid w:val="7658155F"/>
    <w:rsid w:val="779B6D69"/>
    <w:rsid w:val="77E60E2F"/>
    <w:rsid w:val="790628D7"/>
    <w:rsid w:val="7B6A553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semiHidden="0" w:name="index 1" w:locked="1"/>
    <w:lsdException w:qFormat="1" w:unhideWhenUsed="0" w:uiPriority="99" w:semiHidden="0" w:name="index 2" w:locked="1"/>
    <w:lsdException w:qFormat="1" w:unhideWhenUsed="0" w:uiPriority="99" w:semiHidden="0" w:name="index 3" w:locked="1"/>
    <w:lsdException w:qFormat="1" w:unhideWhenUsed="0" w:uiPriority="99" w:semiHidden="0" w:name="index 4" w:locked="1"/>
    <w:lsdException w:qFormat="1" w:unhideWhenUsed="0" w:uiPriority="99" w:semiHidden="0" w:name="index 5" w:locked="1"/>
    <w:lsdException w:qFormat="1" w:unhideWhenUsed="0" w:uiPriority="99" w:semiHidden="0" w:name="index 6" w:locked="1"/>
    <w:lsdException w:qFormat="1" w:unhideWhenUsed="0" w:uiPriority="99" w:semiHidden="0" w:name="index 7" w:locked="1"/>
    <w:lsdException w:qFormat="1" w:unhideWhenUsed="0" w:uiPriority="99" w:semiHidden="0" w:name="index 8" w:locked="1"/>
    <w:lsdException w:qFormat="1" w:unhideWhenUsed="0" w:uiPriority="99" w:semiHidden="0" w:name="index 9" w:locked="1"/>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qFormat="1" w:unhideWhenUsed="0" w:uiPriority="39" w:semiHidden="0" w:name="toc 4" w:locked="1"/>
    <w:lsdException w:qFormat="1" w:unhideWhenUsed="0" w:uiPriority="39" w:semiHidden="0" w:name="toc 5" w:locked="1"/>
    <w:lsdException w:qFormat="1" w:unhideWhenUsed="0" w:uiPriority="39" w:semiHidden="0" w:name="toc 6" w:locked="1"/>
    <w:lsdException w:qFormat="1" w:unhideWhenUsed="0" w:uiPriority="39" w:semiHidden="0" w:name="toc 7" w:locked="1"/>
    <w:lsdException w:qFormat="1" w:unhideWhenUsed="0" w:uiPriority="39" w:semiHidden="0" w:name="toc 8" w:locked="1"/>
    <w:lsdException w:qFormat="1" w:unhideWhenUsed="0" w:uiPriority="39" w:semiHidden="0" w:name="toc 9" w:locked="1"/>
    <w:lsdException w:qFormat="1" w:unhideWhenUsed="0" w:uiPriority="99" w:semiHidden="0" w:name="Normal Indent" w:locked="1"/>
    <w:lsdException w:qFormat="1" w:unhideWhenUsed="0" w:uiPriority="99" w:semiHidden="0" w:name="footnote text" w:locked="1"/>
    <w:lsdException w:qFormat="1" w:unhideWhenUsed="0" w:uiPriority="99" w:semiHidden="0" w:name="annotation text" w:locked="1"/>
    <w:lsdException w:qFormat="1" w:uiPriority="99" w:semiHidden="0" w:name="header"/>
    <w:lsdException w:qFormat="1" w:uiPriority="99" w:semiHidden="0" w:name="footer"/>
    <w:lsdException w:qFormat="1" w:unhideWhenUsed="0" w:uiPriority="99" w:semiHidden="0" w:name="index heading" w:locked="1"/>
    <w:lsdException w:qFormat="1" w:uiPriority="35" w:name="caption" w:locked="1"/>
    <w:lsdException w:qFormat="1" w:unhideWhenUsed="0" w:uiPriority="99" w:semiHidden="0" w:name="table of figures" w:locked="1"/>
    <w:lsdException w:qFormat="1" w:unhideWhenUsed="0" w:uiPriority="99" w:semiHidden="0" w:name="envelope address" w:locked="1"/>
    <w:lsdException w:qFormat="1" w:unhideWhenUsed="0" w:uiPriority="99" w:semiHidden="0" w:name="envelope return" w:locked="1"/>
    <w:lsdException w:qFormat="1" w:unhideWhenUsed="0" w:uiPriority="99" w:semiHidden="0" w:name="footnote reference" w:locked="1"/>
    <w:lsdException w:qFormat="1" w:unhideWhenUsed="0" w:uiPriority="99" w:semiHidden="0" w:name="annotation reference" w:locked="1"/>
    <w:lsdException w:qFormat="1" w:unhideWhenUsed="0" w:uiPriority="99" w:semiHidden="0" w:name="line number" w:locked="1"/>
    <w:lsdException w:qFormat="1" w:uiPriority="99" w:semiHidden="0" w:name="page number"/>
    <w:lsdException w:qFormat="1" w:unhideWhenUsed="0" w:uiPriority="99" w:semiHidden="0" w:name="endnote reference" w:locked="1"/>
    <w:lsdException w:qFormat="1" w:unhideWhenUsed="0" w:uiPriority="99" w:semiHidden="0" w:name="endnote text" w:locked="1"/>
    <w:lsdException w:qFormat="1" w:unhideWhenUsed="0" w:uiPriority="99" w:semiHidden="0" w:name="table of authorities" w:locked="1"/>
    <w:lsdException w:qFormat="1" w:unhideWhenUsed="0" w:uiPriority="99" w:semiHidden="0" w:name="macro" w:locked="1"/>
    <w:lsdException w:qFormat="1" w:unhideWhenUsed="0" w:uiPriority="99" w:semiHidden="0" w:name="toa heading" w:locked="1"/>
    <w:lsdException w:qFormat="1" w:unhideWhenUsed="0" w:uiPriority="99" w:semiHidden="0" w:name="List" w:locked="1"/>
    <w:lsdException w:qFormat="1" w:unhideWhenUsed="0" w:uiPriority="99" w:semiHidden="0" w:name="List Bullet" w:locked="1"/>
    <w:lsdException w:qFormat="1" w:unhideWhenUsed="0" w:uiPriority="99" w:semiHidden="0" w:name="List Number" w:locked="1"/>
    <w:lsdException w:qFormat="1" w:unhideWhenUsed="0" w:uiPriority="99" w:semiHidden="0" w:name="List 2" w:locked="1"/>
    <w:lsdException w:qFormat="1" w:unhideWhenUsed="0" w:uiPriority="99" w:semiHidden="0" w:name="List 3" w:locked="1"/>
    <w:lsdException w:qFormat="1" w:unhideWhenUsed="0" w:uiPriority="99" w:semiHidden="0" w:name="List 4" w:locked="1"/>
    <w:lsdException w:qFormat="1" w:unhideWhenUsed="0" w:uiPriority="99" w:semiHidden="0" w:name="List 5" w:locked="1"/>
    <w:lsdException w:qFormat="1" w:unhideWhenUsed="0" w:uiPriority="99" w:semiHidden="0" w:name="List Bullet 2" w:locked="1"/>
    <w:lsdException w:qFormat="1" w:unhideWhenUsed="0" w:uiPriority="99" w:semiHidden="0" w:name="List Bullet 3" w:locked="1"/>
    <w:lsdException w:qFormat="1" w:unhideWhenUsed="0" w:uiPriority="99" w:semiHidden="0" w:name="List Bullet 4" w:locked="1"/>
    <w:lsdException w:qFormat="1" w:unhideWhenUsed="0" w:uiPriority="99" w:semiHidden="0" w:name="List Bullet 5" w:locked="1"/>
    <w:lsdException w:qFormat="1" w:unhideWhenUsed="0" w:uiPriority="99" w:semiHidden="0" w:name="List Number 2" w:locked="1"/>
    <w:lsdException w:qFormat="1" w:unhideWhenUsed="0" w:uiPriority="99" w:semiHidden="0" w:name="List Number 3" w:locked="1"/>
    <w:lsdException w:qFormat="1" w:unhideWhenUsed="0" w:uiPriority="99" w:semiHidden="0" w:name="List Number 4" w:locked="1"/>
    <w:lsdException w:qFormat="1" w:unhideWhenUsed="0" w:uiPriority="99" w:semiHidden="0" w:name="List Number 5" w:locked="1"/>
    <w:lsdException w:qFormat="1" w:unhideWhenUsed="0" w:uiPriority="10" w:semiHidden="0" w:name="Title" w:locked="1"/>
    <w:lsdException w:qFormat="1" w:unhideWhenUsed="0" w:uiPriority="99" w:semiHidden="0" w:name="Closing" w:locked="1"/>
    <w:lsdException w:qFormat="1" w:unhideWhenUsed="0" w:uiPriority="99" w:semiHidden="0" w:name="Signature" w:locked="1"/>
    <w:lsdException w:qFormat="1" w:uiPriority="99" w:semiHidden="0" w:name="Default Paragraph Font"/>
    <w:lsdException w:qFormat="1" w:unhideWhenUsed="0" w:uiPriority="0" w:semiHidden="0" w:name="Body Text" w:locked="1"/>
    <w:lsdException w:qFormat="1" w:unhideWhenUsed="0" w:uiPriority="99" w:semiHidden="0" w:name="Body Text Indent" w:locked="1"/>
    <w:lsdException w:qFormat="1" w:unhideWhenUsed="0" w:uiPriority="99" w:semiHidden="0" w:name="List Continue" w:locked="1"/>
    <w:lsdException w:qFormat="1" w:unhideWhenUsed="0" w:uiPriority="99" w:semiHidden="0" w:name="List Continue 2" w:locked="1"/>
    <w:lsdException w:qFormat="1" w:unhideWhenUsed="0" w:uiPriority="99" w:semiHidden="0" w:name="List Continue 3" w:locked="1"/>
    <w:lsdException w:qFormat="1" w:unhideWhenUsed="0" w:uiPriority="99" w:semiHidden="0" w:name="List Continue 4" w:locked="1"/>
    <w:lsdException w:qFormat="1" w:unhideWhenUsed="0" w:uiPriority="99" w:semiHidden="0" w:name="List Continue 5" w:locked="1"/>
    <w:lsdException w:qFormat="1" w:unhideWhenUsed="0" w:uiPriority="99" w:semiHidden="0" w:name="Message Header" w:locked="1"/>
    <w:lsdException w:qFormat="1" w:unhideWhenUsed="0" w:uiPriority="11" w:semiHidden="0" w:name="Subtitle" w:locked="1"/>
    <w:lsdException w:qFormat="1" w:unhideWhenUsed="0" w:uiPriority="99" w:semiHidden="0" w:name="Salutation" w:locked="1"/>
    <w:lsdException w:qFormat="1" w:unhideWhenUsed="0" w:uiPriority="99" w:semiHidden="0" w:name="Date" w:locked="1"/>
    <w:lsdException w:qFormat="1" w:unhideWhenUsed="0" w:uiPriority="99" w:semiHidden="0" w:name="Body Text First Indent" w:locked="1"/>
    <w:lsdException w:qFormat="1" w:unhideWhenUsed="0" w:uiPriority="99" w:semiHidden="0" w:name="Body Text First Indent 2" w:locked="1"/>
    <w:lsdException w:qFormat="1" w:unhideWhenUsed="0" w:uiPriority="99" w:semiHidden="0" w:name="Note Heading" w:locked="1"/>
    <w:lsdException w:qFormat="1" w:unhideWhenUsed="0" w:uiPriority="99" w:semiHidden="0" w:name="Body Text 2" w:locked="1"/>
    <w:lsdException w:qFormat="1" w:unhideWhenUsed="0" w:uiPriority="99" w:semiHidden="0" w:name="Body Text 3" w:locked="1"/>
    <w:lsdException w:qFormat="1" w:unhideWhenUsed="0" w:uiPriority="99" w:semiHidden="0" w:name="Body Text Indent 2" w:locked="1"/>
    <w:lsdException w:qFormat="1" w:unhideWhenUsed="0" w:uiPriority="99" w:semiHidden="0" w:name="Body Text Indent 3" w:locked="1"/>
    <w:lsdException w:qFormat="1" w:unhideWhenUsed="0" w:uiPriority="99" w:semiHidden="0" w:name="Block Text" w:locked="1"/>
    <w:lsdException w:qFormat="1" w:uiPriority="99" w:semiHidden="0" w:name="Hyperlink"/>
    <w:lsdException w:qFormat="1" w:unhideWhenUsed="0" w:uiPriority="99" w:semiHidden="0" w:name="FollowedHyperlink" w:locked="1"/>
    <w:lsdException w:qFormat="1" w:unhideWhenUsed="0" w:uiPriority="22" w:semiHidden="0" w:name="Strong" w:locked="1"/>
    <w:lsdException w:qFormat="1" w:unhideWhenUsed="0" w:uiPriority="20" w:semiHidden="0" w:name="Emphasis" w:locked="1"/>
    <w:lsdException w:qFormat="1" w:unhideWhenUsed="0" w:uiPriority="99" w:semiHidden="0" w:name="Document Map" w:locked="1"/>
    <w:lsdException w:qFormat="1" w:unhideWhenUsed="0" w:uiPriority="99" w:semiHidden="0" w:name="Plain Text" w:locked="1"/>
    <w:lsdException w:qFormat="1" w:unhideWhenUsed="0" w:uiPriority="99" w:semiHidden="0" w:name="E-mail Signature" w:locked="1"/>
    <w:lsdException w:qFormat="1" w:unhideWhenUsed="0" w:uiPriority="99" w:semiHidden="0" w:name="Normal (Web)" w:locked="1"/>
    <w:lsdException w:qFormat="1" w:unhideWhenUsed="0" w:uiPriority="99" w:semiHidden="0" w:name="HTML Acronym" w:locked="1"/>
    <w:lsdException w:qFormat="1" w:unhideWhenUsed="0" w:uiPriority="99" w:semiHidden="0" w:name="HTML Address" w:locked="1"/>
    <w:lsdException w:qFormat="1" w:unhideWhenUsed="0" w:uiPriority="99" w:semiHidden="0" w:name="HTML Cite" w:locked="1"/>
    <w:lsdException w:qFormat="1" w:unhideWhenUsed="0" w:uiPriority="99" w:semiHidden="0" w:name="HTML Code" w:locked="1"/>
    <w:lsdException w:qFormat="1" w:unhideWhenUsed="0" w:uiPriority="99" w:semiHidden="0" w:name="HTML Definition" w:locked="1"/>
    <w:lsdException w:qFormat="1" w:unhideWhenUsed="0" w:uiPriority="99" w:semiHidden="0" w:name="HTML Keyboard" w:locked="1"/>
    <w:lsdException w:qFormat="1" w:unhideWhenUsed="0" w:uiPriority="99" w:semiHidden="0" w:name="HTML Preformatted" w:locked="1"/>
    <w:lsdException w:qFormat="1" w:unhideWhenUsed="0" w:uiPriority="99" w:semiHidden="0" w:name="HTML Sample" w:locked="1"/>
    <w:lsdException w:qFormat="1" w:unhideWhenUsed="0" w:uiPriority="99" w:semiHidden="0" w:name="HTML Typewriter" w:locked="1"/>
    <w:lsdException w:qFormat="1" w:unhideWhenUsed="0" w:uiPriority="99" w:semiHidden="0" w:name="HTML Variable" w:locked="1"/>
    <w:lsdException w:qFormat="1" w:uiPriority="99" w:name="Normal Table"/>
    <w:lsdException w:qFormat="1" w:unhideWhenUsed="0" w:uiPriority="99" w:semiHidden="0" w:name="annotation subject" w:locked="1"/>
    <w:lsdException w:qFormat="1" w:unhideWhenUsed="0" w:uiPriority="99" w:semiHidden="0" w:name="Table Simple 1"/>
    <w:lsdException w:qFormat="1" w:unhideWhenUsed="0" w:uiPriority="99" w:semiHidden="0" w:name="Table Simple 2" w:locked="1"/>
    <w:lsdException w:qFormat="1" w:unhideWhenUsed="0" w:uiPriority="99" w:semiHidden="0" w:name="Table Simple 3" w:locked="1"/>
    <w:lsdException w:qFormat="1" w:unhideWhenUsed="0" w:uiPriority="99" w:semiHidden="0" w:name="Table Classic 1" w:locked="1"/>
    <w:lsdException w:qFormat="1" w:unhideWhenUsed="0" w:uiPriority="99" w:semiHidden="0" w:name="Table Classic 2" w:locked="1"/>
    <w:lsdException w:qFormat="1" w:unhideWhenUsed="0" w:uiPriority="99" w:semiHidden="0" w:name="Table Classic 3" w:locked="1"/>
    <w:lsdException w:qFormat="1" w:unhideWhenUsed="0" w:uiPriority="99" w:semiHidden="0" w:name="Table Classic 4" w:locked="1"/>
    <w:lsdException w:qFormat="1" w:unhideWhenUsed="0" w:uiPriority="99" w:semiHidden="0" w:name="Table Colorful 1" w:locked="1"/>
    <w:lsdException w:qFormat="1" w:unhideWhenUsed="0" w:uiPriority="99" w:semiHidden="0" w:name="Table Colorful 2" w:locked="1"/>
    <w:lsdException w:qFormat="1" w:unhideWhenUsed="0" w:uiPriority="99" w:semiHidden="0" w:name="Table Colorful 3" w:locked="1"/>
    <w:lsdException w:qFormat="1" w:unhideWhenUsed="0" w:uiPriority="99" w:semiHidden="0" w:name="Table Columns 1" w:locked="1"/>
    <w:lsdException w:qFormat="1" w:unhideWhenUsed="0" w:uiPriority="99" w:semiHidden="0" w:name="Table Columns 2" w:locked="1"/>
    <w:lsdException w:qFormat="1" w:unhideWhenUsed="0" w:uiPriority="99" w:semiHidden="0" w:name="Table Columns 3" w:locked="1"/>
    <w:lsdException w:qFormat="1" w:unhideWhenUsed="0" w:uiPriority="99" w:semiHidden="0" w:name="Table Columns 4" w:locked="1"/>
    <w:lsdException w:qFormat="1" w:unhideWhenUsed="0" w:uiPriority="99" w:semiHidden="0" w:name="Table Columns 5" w:locked="1"/>
    <w:lsdException w:qFormat="1" w:unhideWhenUsed="0" w:uiPriority="99" w:semiHidden="0" w:name="Table Grid 1" w:locked="1"/>
    <w:lsdException w:qFormat="1" w:unhideWhenUsed="0" w:uiPriority="99" w:semiHidden="0" w:name="Table Grid 2" w:locked="1"/>
    <w:lsdException w:qFormat="1" w:unhideWhenUsed="0" w:uiPriority="99" w:semiHidden="0" w:name="Table Grid 3" w:locked="1"/>
    <w:lsdException w:qFormat="1" w:unhideWhenUsed="0" w:uiPriority="99" w:semiHidden="0" w:name="Table Grid 4" w:locked="1"/>
    <w:lsdException w:qFormat="1" w:unhideWhenUsed="0" w:uiPriority="99" w:semiHidden="0" w:name="Table Grid 5" w:locked="1"/>
    <w:lsdException w:qFormat="1" w:unhideWhenUsed="0" w:uiPriority="99" w:semiHidden="0" w:name="Table Grid 6" w:locked="1"/>
    <w:lsdException w:qFormat="1" w:unhideWhenUsed="0" w:uiPriority="99" w:semiHidden="0" w:name="Table Grid 7" w:locked="1"/>
    <w:lsdException w:qFormat="1" w:unhideWhenUsed="0" w:uiPriority="99" w:semiHidden="0" w:name="Table Grid 8" w:locked="1"/>
    <w:lsdException w:qFormat="1" w:unhideWhenUsed="0" w:uiPriority="99" w:semiHidden="0" w:name="Table List 1" w:locked="1"/>
    <w:lsdException w:qFormat="1" w:unhideWhenUsed="0" w:uiPriority="99" w:semiHidden="0" w:name="Table List 2" w:locked="1"/>
    <w:lsdException w:qFormat="1" w:unhideWhenUsed="0" w:uiPriority="99" w:semiHidden="0" w:name="Table List 3" w:locked="1"/>
    <w:lsdException w:qFormat="1" w:unhideWhenUsed="0" w:uiPriority="99" w:semiHidden="0" w:name="Table List 4" w:locked="1"/>
    <w:lsdException w:qFormat="1" w:unhideWhenUsed="0" w:uiPriority="99" w:semiHidden="0" w:name="Table List 5" w:locked="1"/>
    <w:lsdException w:qFormat="1" w:unhideWhenUsed="0" w:uiPriority="99" w:semiHidden="0" w:name="Table List 6" w:locked="1"/>
    <w:lsdException w:qFormat="1" w:unhideWhenUsed="0" w:uiPriority="99" w:semiHidden="0" w:name="Table List 7" w:locked="1"/>
    <w:lsdException w:qFormat="1" w:unhideWhenUsed="0" w:uiPriority="99" w:semiHidden="0" w:name="Table List 8" w:locked="1"/>
    <w:lsdException w:qFormat="1" w:unhideWhenUsed="0" w:uiPriority="99" w:semiHidden="0" w:name="Table 3D effects 1" w:locked="1"/>
    <w:lsdException w:qFormat="1" w:unhideWhenUsed="0" w:uiPriority="99" w:semiHidden="0" w:name="Table 3D effects 2" w:locked="1"/>
    <w:lsdException w:qFormat="1" w:unhideWhenUsed="0" w:uiPriority="99" w:semiHidden="0" w:name="Table 3D effects 3" w:locked="1"/>
    <w:lsdException w:qFormat="1" w:unhideWhenUsed="0" w:uiPriority="99" w:semiHidden="0" w:name="Table Contemporary" w:locked="1"/>
    <w:lsdException w:qFormat="1" w:unhideWhenUsed="0" w:uiPriority="99" w:semiHidden="0" w:name="Table Elegant" w:locked="1"/>
    <w:lsdException w:qFormat="1" w:unhideWhenUsed="0" w:uiPriority="99" w:semiHidden="0" w:name="Table Professional" w:locked="1"/>
    <w:lsdException w:qFormat="1" w:unhideWhenUsed="0" w:uiPriority="99" w:semiHidden="0" w:name="Table Subtle 1" w:locked="1"/>
    <w:lsdException w:qFormat="1" w:unhideWhenUsed="0" w:uiPriority="99" w:semiHidden="0" w:name="Table Subtle 2" w:locked="1"/>
    <w:lsdException w:qFormat="1" w:unhideWhenUsed="0" w:uiPriority="99" w:semiHidden="0" w:name="Table Web 1" w:locked="1"/>
    <w:lsdException w:qFormat="1" w:unhideWhenUsed="0" w:uiPriority="99" w:semiHidden="0" w:name="Table Web 2" w:locked="1"/>
    <w:lsdException w:qFormat="1" w:unhideWhenUsed="0" w:uiPriority="99" w:semiHidden="0" w:name="Table Web 3" w:locked="1"/>
    <w:lsdException w:qFormat="1" w:unhideWhenUsed="0" w:uiPriority="99" w:semiHidden="0" w:name="Balloon Text" w:locked="1"/>
    <w:lsdException w:qFormat="1" w:unhideWhenUsed="0" w:uiPriority="59" w:semiHidden="0" w:name="Table Grid" w:locked="1"/>
    <w:lsdException w:qFormat="1" w:unhideWhenUsed="0" w:uiPriority="99"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0" w:line="240" w:lineRule="auto"/>
      <w:jc w:val="both"/>
    </w:pPr>
    <w:rPr>
      <w:rFonts w:ascii="Times New Roman" w:hAnsi="Times New Roman" w:eastAsia="宋体" w:cs="Times New Roman"/>
      <w:kern w:val="2"/>
      <w:sz w:val="21"/>
      <w:szCs w:val="21"/>
      <w:lang w:val="en-US" w:eastAsia="zh-CN" w:bidi="ar-SA"/>
    </w:rPr>
  </w:style>
  <w:style w:type="character" w:default="1" w:styleId="7">
    <w:name w:val="Default Paragraph Font"/>
    <w:unhideWhenUsed/>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locked/>
    <w:uiPriority w:val="0"/>
    <w:pPr>
      <w:spacing w:after="120"/>
    </w:pPr>
  </w:style>
  <w:style w:type="paragraph" w:styleId="3">
    <w:name w:val="footer"/>
    <w:basedOn w:val="1"/>
    <w:link w:val="12"/>
    <w:unhideWhenUsed/>
    <w:qFormat/>
    <w:uiPriority w:val="99"/>
    <w:pPr>
      <w:tabs>
        <w:tab w:val="center" w:pos="4153"/>
        <w:tab w:val="right" w:pos="8306"/>
      </w:tabs>
      <w:snapToGrid w:val="0"/>
      <w:jc w:val="left"/>
    </w:pPr>
    <w:rPr>
      <w:sz w:val="18"/>
      <w:szCs w:val="24"/>
    </w:rPr>
  </w:style>
  <w:style w:type="paragraph" w:styleId="4">
    <w:name w:val="header"/>
    <w:basedOn w:val="1"/>
    <w:link w:val="13"/>
    <w:unhideWhenUsed/>
    <w:qFormat/>
    <w:uiPriority w:val="99"/>
    <w:pPr>
      <w:pBdr>
        <w:bottom w:val="single" w:color="auto" w:sz="6" w:space="1"/>
      </w:pBdr>
      <w:tabs>
        <w:tab w:val="center" w:pos="4153"/>
        <w:tab w:val="right" w:pos="8306"/>
      </w:tabs>
      <w:snapToGrid w:val="0"/>
      <w:jc w:val="center"/>
    </w:pPr>
    <w:rPr>
      <w:sz w:val="18"/>
      <w:szCs w:val="24"/>
    </w:rPr>
  </w:style>
  <w:style w:type="paragraph" w:styleId="5">
    <w:name w:val="Normal (Web)"/>
    <w:basedOn w:val="1"/>
    <w:qFormat/>
    <w:locked/>
    <w:uiPriority w:val="99"/>
    <w:pPr>
      <w:spacing w:before="0" w:beforeAutospacing="1" w:after="0" w:afterAutospacing="1"/>
      <w:ind w:left="0" w:right="0"/>
      <w:jc w:val="left"/>
    </w:pPr>
    <w:rPr>
      <w:kern w:val="0"/>
      <w:sz w:val="24"/>
      <w:lang w:val="en-US" w:eastAsia="zh-CN" w:bidi="ar"/>
    </w:rPr>
  </w:style>
  <w:style w:type="character" w:styleId="8">
    <w:name w:val="Strong"/>
    <w:basedOn w:val="7"/>
    <w:qFormat/>
    <w:locked/>
    <w:uiPriority w:val="22"/>
    <w:rPr>
      <w:b/>
    </w:rPr>
  </w:style>
  <w:style w:type="character" w:styleId="9">
    <w:name w:val="page number"/>
    <w:basedOn w:val="7"/>
    <w:unhideWhenUsed/>
    <w:qFormat/>
    <w:uiPriority w:val="99"/>
    <w:rPr>
      <w:rFonts w:cs="Times New Roman"/>
    </w:rPr>
  </w:style>
  <w:style w:type="character" w:styleId="10">
    <w:name w:val="Hyperlink"/>
    <w:basedOn w:val="7"/>
    <w:unhideWhenUsed/>
    <w:qFormat/>
    <w:uiPriority w:val="99"/>
    <w:rPr>
      <w:rFonts w:cs="Times New Roman"/>
      <w:color w:val="0000FF"/>
      <w:u w:val="single"/>
    </w:rPr>
  </w:style>
  <w:style w:type="character" w:customStyle="1" w:styleId="11">
    <w:name w:val="Footer Char"/>
    <w:basedOn w:val="7"/>
    <w:unhideWhenUsed/>
    <w:qFormat/>
    <w:uiPriority w:val="99"/>
    <w:rPr>
      <w:rFonts w:cs="Times New Roman"/>
      <w:kern w:val="2"/>
      <w:sz w:val="18"/>
    </w:rPr>
  </w:style>
  <w:style w:type="character" w:customStyle="1" w:styleId="12">
    <w:name w:val="页脚 字符1"/>
    <w:basedOn w:val="7"/>
    <w:link w:val="3"/>
    <w:unhideWhenUsed/>
    <w:qFormat/>
    <w:locked/>
    <w:uiPriority w:val="99"/>
    <w:rPr>
      <w:rFonts w:cs="Times New Roman"/>
      <w:sz w:val="18"/>
    </w:rPr>
  </w:style>
  <w:style w:type="character" w:customStyle="1" w:styleId="13">
    <w:name w:val="页眉 字符1"/>
    <w:basedOn w:val="7"/>
    <w:link w:val="4"/>
    <w:unhideWhenUsed/>
    <w:qFormat/>
    <w:locked/>
    <w:uiPriority w:val="99"/>
    <w:rPr>
      <w:rFonts w:cs="Times New Roman"/>
      <w:sz w:val="18"/>
    </w:rPr>
  </w:style>
  <w:style w:type="character" w:customStyle="1" w:styleId="14">
    <w:name w:val="Header Char"/>
    <w:basedOn w:val="7"/>
    <w:unhideWhenUsed/>
    <w:qFormat/>
    <w:uiPriority w:val="99"/>
    <w:rPr>
      <w:rFonts w:cs="Times New Roman"/>
      <w:kern w:val="2"/>
      <w:sz w:val="18"/>
    </w:rPr>
  </w:style>
  <w:style w:type="character" w:customStyle="1" w:styleId="15">
    <w:name w:val="页脚 字符"/>
    <w:basedOn w:val="7"/>
    <w:semiHidden/>
    <w:qFormat/>
    <w:uiPriority w:val="99"/>
    <w:rPr>
      <w:sz w:val="18"/>
      <w:szCs w:val="18"/>
    </w:rPr>
  </w:style>
  <w:style w:type="character" w:customStyle="1" w:styleId="16">
    <w:name w:val="页脚 字符2"/>
    <w:basedOn w:val="7"/>
    <w:semiHidden/>
    <w:qFormat/>
    <w:uiPriority w:val="99"/>
    <w:rPr>
      <w:rFonts w:cs="Times New Roman"/>
      <w:sz w:val="18"/>
      <w:szCs w:val="18"/>
    </w:rPr>
  </w:style>
  <w:style w:type="character" w:customStyle="1" w:styleId="17">
    <w:name w:val="页眉 字符"/>
    <w:basedOn w:val="7"/>
    <w:semiHidden/>
    <w:qFormat/>
    <w:uiPriority w:val="99"/>
    <w:rPr>
      <w:sz w:val="18"/>
      <w:szCs w:val="18"/>
    </w:rPr>
  </w:style>
  <w:style w:type="character" w:customStyle="1" w:styleId="18">
    <w:name w:val="页眉 字符2"/>
    <w:basedOn w:val="7"/>
    <w:semiHidden/>
    <w:qFormat/>
    <w:uiPriority w:val="99"/>
    <w:rPr>
      <w:rFonts w:cs="Times New Roman"/>
      <w:sz w:val="18"/>
      <w:szCs w:val="18"/>
    </w:rPr>
  </w:style>
  <w:style w:type="paragraph" w:customStyle="1" w:styleId="19">
    <w:name w:val="纯文本1"/>
    <w:basedOn w:val="1"/>
    <w:unhideWhenUsed/>
    <w:qFormat/>
    <w:uiPriority w:val="99"/>
    <w:pPr>
      <w:autoSpaceDE w:val="0"/>
      <w:autoSpaceDN w:val="0"/>
      <w:adjustRightInd w:val="0"/>
      <w:textAlignment w:val="baseline"/>
    </w:pPr>
    <w:rPr>
      <w:rFonts w:ascii="宋体"/>
      <w:sz w:val="2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1023</Words>
  <Characters>1040</Characters>
  <Lines>7</Lines>
  <Paragraphs>2</Paragraphs>
  <TotalTime>0</TotalTime>
  <ScaleCrop>false</ScaleCrop>
  <LinksUpToDate>false</LinksUpToDate>
  <CharactersWithSpaces>1040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2025-06-23T12:38:00Z</dcterms:created>
  <dc:creator>Administrator</dc:creator>
  <cp:lastModifiedBy>WPS_1612230784</cp:lastModifiedBy>
  <cp:lastPrinted>2026-08-08T03:01:00Z</cp:lastPrinted>
  <dcterms:modified xsi:type="dcterms:W3CDTF">2026-08-14T02:38:35Z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eyJoZGlkIjoiNDNlMjJiODRjYmM1YWYyMmRmNzI5YTlhMDI5MzUzMjAiLCJ1c2VySWQiOiIxMTY5MTc2Mzc4In0=</vt:lpwstr>
  </property>
  <property fmtid="{D5CDD505-2E9C-101B-9397-08002B2CF9AE}" pid="3" name="KSOProductBuildVer">
    <vt:lpwstr>2052-12.1.0.19770</vt:lpwstr>
  </property>
  <property fmtid="{D5CDD505-2E9C-101B-9397-08002B2CF9AE}" pid="4" name="ICV">
    <vt:lpwstr>F6F8E870A589486BAEA693F564E9C81F_13</vt:lpwstr>
  </property>
</Properties>
</file>