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D44D4">
      <w:pPr>
        <w:spacing w:line="560" w:lineRule="exact"/>
        <w:rPr>
          <w:rFonts w:hint="eastAsia" w:ascii="黑体" w:hAnsi="黑体" w:eastAsia="黑体" w:cs="黑体"/>
          <w:sz w:val="32"/>
          <w:szCs w:val="32"/>
        </w:rPr>
      </w:pPr>
      <w:r>
        <w:rPr>
          <w:rFonts w:hint="eastAsia" w:ascii="黑体" w:hAnsi="黑体" w:eastAsia="黑体" w:cs="黑体"/>
          <w:sz w:val="32"/>
          <w:szCs w:val="32"/>
        </w:rPr>
        <w:t>附件4</w:t>
      </w:r>
    </w:p>
    <w:p w14:paraId="001FFC1B">
      <w:pPr>
        <w:spacing w:line="500" w:lineRule="exact"/>
        <w:jc w:val="center"/>
        <w:rPr>
          <w:rFonts w:eastAsia="方正小标宋简体" w:cs="方正小标宋简体"/>
          <w:sz w:val="36"/>
          <w:szCs w:val="36"/>
        </w:rPr>
      </w:pPr>
      <w:r>
        <w:rPr>
          <w:rFonts w:hint="eastAsia" w:eastAsia="方正小标宋简体" w:cs="方正小标宋简体"/>
          <w:sz w:val="36"/>
          <w:szCs w:val="36"/>
        </w:rPr>
        <w:t>四川省天财网络有限责任公司</w:t>
      </w:r>
    </w:p>
    <w:p w14:paraId="69A89F13">
      <w:pPr>
        <w:spacing w:line="500" w:lineRule="exact"/>
        <w:jc w:val="center"/>
        <w:rPr>
          <w:rFonts w:eastAsia="方正小标宋简体" w:cs="方正小标宋简体"/>
          <w:sz w:val="36"/>
          <w:szCs w:val="36"/>
        </w:rPr>
      </w:pPr>
      <w:r>
        <w:rPr>
          <w:rFonts w:hint="eastAsia" w:eastAsia="方正小标宋简体" w:cs="方正小标宋简体"/>
          <w:sz w:val="36"/>
          <w:szCs w:val="36"/>
        </w:rPr>
        <w:t>副总经理岗位说明书</w:t>
      </w:r>
    </w:p>
    <w:tbl>
      <w:tblPr>
        <w:tblStyle w:val="10"/>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920"/>
        <w:gridCol w:w="1461"/>
        <w:gridCol w:w="2411"/>
      </w:tblGrid>
      <w:tr w14:paraId="4183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640" w:type="dxa"/>
            <w:gridSpan w:val="4"/>
            <w:shd w:val="clear" w:color="auto" w:fill="D8D8D8"/>
            <w:vAlign w:val="center"/>
          </w:tcPr>
          <w:p w14:paraId="2B441180">
            <w:pPr>
              <w:spacing w:line="400" w:lineRule="exact"/>
              <w:jc w:val="center"/>
              <w:rPr>
                <w:rFonts w:ascii="Arial Unicode MS" w:hAnsi="Arial Unicode MS" w:eastAsia="仿宋_GB2312"/>
                <w:b/>
                <w:sz w:val="24"/>
              </w:rPr>
            </w:pPr>
            <w:r>
              <w:rPr>
                <w:rFonts w:hint="eastAsia" w:ascii="Arial Unicode MS" w:hAnsi="Arial Unicode MS" w:eastAsia="仿宋_GB2312"/>
                <w:b/>
                <w:sz w:val="24"/>
              </w:rPr>
              <w:t>一、岗位信息</w:t>
            </w:r>
          </w:p>
        </w:tc>
      </w:tr>
      <w:tr w14:paraId="2F2D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vAlign w:val="center"/>
          </w:tcPr>
          <w:p w14:paraId="3BA4B0DF">
            <w:pPr>
              <w:spacing w:line="320" w:lineRule="exact"/>
              <w:jc w:val="center"/>
              <w:rPr>
                <w:rFonts w:ascii="Arial Unicode MS" w:hAnsi="Arial Unicode MS" w:eastAsia="仿宋_GB2312"/>
                <w:b/>
                <w:sz w:val="24"/>
              </w:rPr>
            </w:pPr>
            <w:r>
              <w:rPr>
                <w:rFonts w:ascii="Arial Unicode MS" w:hAnsi="Arial Unicode MS" w:eastAsia="仿宋_GB2312"/>
                <w:b/>
                <w:sz w:val="24"/>
              </w:rPr>
              <w:t>公司名称</w:t>
            </w:r>
          </w:p>
        </w:tc>
        <w:tc>
          <w:tcPr>
            <w:tcW w:w="3920" w:type="dxa"/>
            <w:vAlign w:val="center"/>
          </w:tcPr>
          <w:p w14:paraId="2BDA71DF">
            <w:pPr>
              <w:spacing w:line="320" w:lineRule="exact"/>
              <w:rPr>
                <w:rFonts w:ascii="Arial Unicode MS" w:hAnsi="Arial Unicode MS" w:eastAsia="仿宋_GB2312"/>
                <w:sz w:val="24"/>
              </w:rPr>
            </w:pPr>
            <w:r>
              <w:rPr>
                <w:rFonts w:hint="eastAsia" w:ascii="仿宋_GB2312" w:hAnsi="Arial Unicode MS" w:eastAsia="仿宋_GB2312"/>
                <w:sz w:val="24"/>
              </w:rPr>
              <w:t>四川省天财网络有限责任公司</w:t>
            </w:r>
          </w:p>
        </w:tc>
        <w:tc>
          <w:tcPr>
            <w:tcW w:w="1461" w:type="dxa"/>
            <w:vAlign w:val="center"/>
          </w:tcPr>
          <w:p w14:paraId="6D9CD9C0">
            <w:pPr>
              <w:spacing w:line="320" w:lineRule="exact"/>
              <w:jc w:val="center"/>
              <w:rPr>
                <w:rFonts w:ascii="Arial Unicode MS" w:hAnsi="Arial Unicode MS" w:eastAsia="仿宋_GB2312"/>
                <w:b/>
                <w:sz w:val="24"/>
              </w:rPr>
            </w:pPr>
            <w:r>
              <w:rPr>
                <w:rFonts w:hint="eastAsia" w:ascii="Arial Unicode MS" w:hAnsi="Arial Unicode MS" w:eastAsia="仿宋_GB2312"/>
                <w:b/>
                <w:sz w:val="24"/>
              </w:rPr>
              <w:t>二级机构</w:t>
            </w:r>
          </w:p>
        </w:tc>
        <w:tc>
          <w:tcPr>
            <w:tcW w:w="2411" w:type="dxa"/>
            <w:vAlign w:val="center"/>
          </w:tcPr>
          <w:p w14:paraId="43E8F726">
            <w:pPr>
              <w:spacing w:line="320" w:lineRule="exact"/>
              <w:rPr>
                <w:rFonts w:ascii="Arial Unicode MS" w:hAnsi="Arial Unicode MS" w:eastAsia="仿宋_GB2312"/>
                <w:sz w:val="24"/>
              </w:rPr>
            </w:pPr>
            <w:r>
              <w:rPr>
                <w:rFonts w:hint="eastAsia" w:ascii="Arial Unicode MS" w:hAnsi="Arial Unicode MS" w:eastAsia="仿宋_GB2312"/>
                <w:sz w:val="24"/>
              </w:rPr>
              <w:t>二级</w:t>
            </w:r>
          </w:p>
        </w:tc>
      </w:tr>
      <w:tr w14:paraId="381A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vAlign w:val="center"/>
          </w:tcPr>
          <w:p w14:paraId="5D978D6C">
            <w:pPr>
              <w:spacing w:line="320" w:lineRule="exact"/>
              <w:jc w:val="center"/>
              <w:rPr>
                <w:rFonts w:ascii="Arial Unicode MS" w:hAnsi="Arial Unicode MS" w:eastAsia="仿宋_GB2312"/>
                <w:b/>
                <w:sz w:val="24"/>
              </w:rPr>
            </w:pPr>
            <w:r>
              <w:rPr>
                <w:rFonts w:hint="eastAsia" w:ascii="Arial Unicode MS" w:hAnsi="Arial Unicode MS" w:eastAsia="仿宋_GB2312"/>
                <w:b/>
                <w:sz w:val="24"/>
              </w:rPr>
              <w:t>岗位名称</w:t>
            </w:r>
          </w:p>
        </w:tc>
        <w:tc>
          <w:tcPr>
            <w:tcW w:w="3920" w:type="dxa"/>
            <w:vAlign w:val="center"/>
          </w:tcPr>
          <w:p w14:paraId="502DACA3">
            <w:pPr>
              <w:pStyle w:val="7"/>
              <w:widowControl/>
              <w:rPr>
                <w:rFonts w:ascii="Arial Unicode MS" w:hAnsi="Arial Unicode MS" w:eastAsia="仿宋_GB2312"/>
              </w:rPr>
            </w:pPr>
            <w:r>
              <w:rPr>
                <w:rFonts w:hint="eastAsia" w:ascii="Arial Unicode MS" w:hAnsi="Arial Unicode MS" w:eastAsia="仿宋_GB2312"/>
              </w:rPr>
              <w:t>副总经理（技术方向）</w:t>
            </w:r>
          </w:p>
        </w:tc>
        <w:tc>
          <w:tcPr>
            <w:tcW w:w="1461" w:type="dxa"/>
            <w:vAlign w:val="center"/>
          </w:tcPr>
          <w:p w14:paraId="79645E43">
            <w:pPr>
              <w:spacing w:line="320" w:lineRule="exact"/>
              <w:jc w:val="center"/>
              <w:rPr>
                <w:rFonts w:ascii="Arial Unicode MS" w:hAnsi="Arial Unicode MS" w:eastAsia="仿宋_GB2312"/>
                <w:b/>
                <w:sz w:val="24"/>
              </w:rPr>
            </w:pPr>
            <w:r>
              <w:rPr>
                <w:rFonts w:hint="eastAsia" w:ascii="Arial Unicode MS" w:hAnsi="Arial Unicode MS" w:eastAsia="仿宋_GB2312"/>
                <w:b/>
                <w:sz w:val="24"/>
              </w:rPr>
              <w:t>岗位序列</w:t>
            </w:r>
          </w:p>
        </w:tc>
        <w:tc>
          <w:tcPr>
            <w:tcW w:w="2411" w:type="dxa"/>
            <w:vAlign w:val="center"/>
          </w:tcPr>
          <w:p w14:paraId="691CB0B4">
            <w:pPr>
              <w:spacing w:line="320" w:lineRule="exact"/>
              <w:rPr>
                <w:rFonts w:ascii="Arial Unicode MS" w:hAnsi="Arial Unicode MS" w:eastAsia="仿宋_GB2312"/>
                <w:sz w:val="24"/>
              </w:rPr>
            </w:pPr>
            <w:r>
              <w:rPr>
                <w:rFonts w:hint="eastAsia" w:ascii="Arial Unicode MS" w:hAnsi="Arial Unicode MS" w:eastAsia="仿宋_GB2312"/>
                <w:sz w:val="24"/>
              </w:rPr>
              <w:t>管理序列</w:t>
            </w:r>
          </w:p>
        </w:tc>
      </w:tr>
      <w:tr w14:paraId="55F2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640" w:type="dxa"/>
            <w:gridSpan w:val="4"/>
            <w:shd w:val="clear" w:color="auto" w:fill="D8D8D8"/>
            <w:vAlign w:val="center"/>
          </w:tcPr>
          <w:p w14:paraId="000803CB">
            <w:pPr>
              <w:spacing w:line="400" w:lineRule="exact"/>
              <w:jc w:val="center"/>
              <w:rPr>
                <w:rFonts w:ascii="Arial Unicode MS" w:hAnsi="Arial Unicode MS" w:eastAsia="仿宋_GB2312"/>
                <w:b/>
                <w:sz w:val="24"/>
              </w:rPr>
            </w:pPr>
            <w:r>
              <w:rPr>
                <w:rFonts w:hint="eastAsia" w:ascii="Arial Unicode MS" w:hAnsi="Arial Unicode MS" w:eastAsia="仿宋_GB2312"/>
                <w:b/>
                <w:sz w:val="24"/>
              </w:rPr>
              <w:t>二、岗位职责</w:t>
            </w:r>
          </w:p>
        </w:tc>
      </w:tr>
      <w:tr w14:paraId="2B73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vAlign w:val="center"/>
          </w:tcPr>
          <w:p w14:paraId="09EFAAD8">
            <w:pPr>
              <w:spacing w:line="400" w:lineRule="exact"/>
              <w:jc w:val="center"/>
              <w:rPr>
                <w:rFonts w:ascii="Arial Unicode MS" w:hAnsi="Arial Unicode MS" w:eastAsia="仿宋_GB2312"/>
                <w:sz w:val="24"/>
              </w:rPr>
            </w:pPr>
            <w:r>
              <w:rPr>
                <w:rFonts w:hint="eastAsia" w:ascii="Arial Unicode MS" w:hAnsi="Arial Unicode MS" w:eastAsia="仿宋_GB2312"/>
                <w:sz w:val="24"/>
              </w:rPr>
              <w:t>岗位职责</w:t>
            </w:r>
          </w:p>
        </w:tc>
        <w:tc>
          <w:tcPr>
            <w:tcW w:w="7792" w:type="dxa"/>
            <w:gridSpan w:val="3"/>
            <w:vAlign w:val="center"/>
          </w:tcPr>
          <w:p w14:paraId="6A765B88">
            <w:pPr>
              <w:pStyle w:val="12"/>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Arial Unicode MS" w:hAnsi="Arial Unicode MS" w:eastAsia="仿宋_GB2312"/>
                <w:kern w:val="2"/>
                <w:sz w:val="21"/>
                <w:szCs w:val="21"/>
                <w:lang w:eastAsia="zh-CN"/>
              </w:rPr>
            </w:pPr>
          </w:p>
          <w:p w14:paraId="23C46627">
            <w:pPr>
              <w:pStyle w:val="12"/>
              <w:keepNext w:val="0"/>
              <w:keepLines w:val="0"/>
              <w:pageBreakBefore w:val="0"/>
              <w:widowControl/>
              <w:kinsoku/>
              <w:wordWrap/>
              <w:overflowPunct/>
              <w:topLinePunct w:val="0"/>
              <w:autoSpaceDE/>
              <w:autoSpaceDN/>
              <w:bidi w:val="0"/>
              <w:adjustRightInd/>
              <w:snapToGrid/>
              <w:spacing w:line="320" w:lineRule="exact"/>
              <w:textAlignment w:val="auto"/>
              <w:rPr>
                <w:rFonts w:ascii="Arial Unicode MS" w:hAnsi="Arial Unicode MS" w:eastAsia="仿宋_GB2312"/>
                <w:kern w:val="2"/>
                <w:sz w:val="21"/>
                <w:szCs w:val="21"/>
                <w:lang w:eastAsia="zh-CN"/>
              </w:rPr>
            </w:pPr>
            <w:r>
              <w:rPr>
                <w:rFonts w:hint="eastAsia" w:ascii="Arial Unicode MS" w:hAnsi="Arial Unicode MS" w:eastAsia="仿宋_GB2312"/>
                <w:kern w:val="2"/>
                <w:sz w:val="21"/>
                <w:szCs w:val="21"/>
                <w:lang w:eastAsia="zh-CN"/>
              </w:rPr>
              <w:t>1. 协助总经理组织实施公司总体战略，参与编制公司技术发展路线图，并组织落实公司中长期技术规划；</w:t>
            </w:r>
            <w:r>
              <w:rPr>
                <w:rFonts w:ascii="Arial Unicode MS" w:hAnsi="Arial Unicode MS" w:eastAsia="仿宋_GB2312"/>
                <w:kern w:val="2"/>
                <w:sz w:val="21"/>
                <w:szCs w:val="21"/>
                <w:lang w:eastAsia="zh-CN"/>
              </w:rPr>
              <w:t xml:space="preserve"> </w:t>
            </w:r>
          </w:p>
          <w:p w14:paraId="21DB0E0F">
            <w:pPr>
              <w:pStyle w:val="12"/>
              <w:keepNext w:val="0"/>
              <w:keepLines w:val="0"/>
              <w:pageBreakBefore w:val="0"/>
              <w:widowControl/>
              <w:kinsoku/>
              <w:wordWrap/>
              <w:overflowPunct/>
              <w:topLinePunct w:val="0"/>
              <w:autoSpaceDE/>
              <w:autoSpaceDN/>
              <w:bidi w:val="0"/>
              <w:adjustRightInd/>
              <w:snapToGrid/>
              <w:spacing w:line="320" w:lineRule="exact"/>
              <w:textAlignment w:val="auto"/>
              <w:rPr>
                <w:rFonts w:ascii="Arial Unicode MS" w:hAnsi="Arial Unicode MS" w:eastAsia="仿宋_GB2312"/>
                <w:kern w:val="2"/>
                <w:sz w:val="21"/>
                <w:szCs w:val="21"/>
                <w:lang w:eastAsia="zh-CN"/>
              </w:rPr>
            </w:pPr>
            <w:r>
              <w:rPr>
                <w:rFonts w:hint="eastAsia" w:ascii="Arial Unicode MS" w:hAnsi="Arial Unicode MS" w:eastAsia="仿宋_GB2312"/>
                <w:kern w:val="2"/>
                <w:sz w:val="21"/>
                <w:szCs w:val="21"/>
                <w:lang w:eastAsia="zh-CN"/>
              </w:rPr>
              <w:t>2.</w:t>
            </w:r>
            <w:r>
              <w:rPr>
                <w:rFonts w:ascii="Arial Unicode MS" w:hAnsi="Arial Unicode MS" w:eastAsia="仿宋_GB2312"/>
                <w:kern w:val="2"/>
                <w:sz w:val="21"/>
                <w:szCs w:val="21"/>
                <w:lang w:eastAsia="zh-CN"/>
              </w:rPr>
              <w:t xml:space="preserve"> </w:t>
            </w:r>
            <w:r>
              <w:rPr>
                <w:rFonts w:hint="eastAsia" w:ascii="Arial Unicode MS" w:hAnsi="Arial Unicode MS" w:eastAsia="仿宋_GB2312"/>
                <w:kern w:val="2"/>
                <w:sz w:val="21"/>
                <w:szCs w:val="21"/>
                <w:lang w:eastAsia="zh-CN"/>
              </w:rPr>
              <w:t>协助总经理组织制定、细化公司科技创新与业务发展规划，承担技术条线规划的承接与落地；</w:t>
            </w:r>
          </w:p>
          <w:p w14:paraId="2B3A34F2">
            <w:pPr>
              <w:pStyle w:val="12"/>
              <w:keepNext w:val="0"/>
              <w:keepLines w:val="0"/>
              <w:pageBreakBefore w:val="0"/>
              <w:widowControl/>
              <w:kinsoku/>
              <w:wordWrap/>
              <w:overflowPunct/>
              <w:topLinePunct w:val="0"/>
              <w:autoSpaceDE/>
              <w:autoSpaceDN/>
              <w:bidi w:val="0"/>
              <w:adjustRightInd/>
              <w:snapToGrid/>
              <w:spacing w:line="320" w:lineRule="exact"/>
              <w:textAlignment w:val="auto"/>
              <w:rPr>
                <w:rFonts w:ascii="Arial Unicode MS" w:hAnsi="Arial Unicode MS" w:eastAsia="仿宋_GB2312"/>
                <w:kern w:val="2"/>
                <w:sz w:val="21"/>
                <w:szCs w:val="21"/>
                <w:lang w:eastAsia="zh-CN"/>
              </w:rPr>
            </w:pPr>
            <w:r>
              <w:rPr>
                <w:rFonts w:hint="eastAsia" w:ascii="Arial Unicode MS" w:hAnsi="Arial Unicode MS" w:eastAsia="仿宋_GB2312"/>
                <w:kern w:val="2"/>
                <w:sz w:val="21"/>
                <w:szCs w:val="21"/>
                <w:lang w:eastAsia="zh-CN"/>
              </w:rPr>
              <w:t>3.协助总经理组织制定、修改、实施公司年度经营计划和财务预算方案，统筹技术研发投入与重大科技项目资金安排；</w:t>
            </w:r>
          </w:p>
          <w:p w14:paraId="5BE40513">
            <w:pPr>
              <w:pStyle w:val="12"/>
              <w:keepNext w:val="0"/>
              <w:keepLines w:val="0"/>
              <w:pageBreakBefore w:val="0"/>
              <w:widowControl/>
              <w:kinsoku/>
              <w:wordWrap/>
              <w:overflowPunct/>
              <w:topLinePunct w:val="0"/>
              <w:autoSpaceDE/>
              <w:autoSpaceDN/>
              <w:bidi w:val="0"/>
              <w:adjustRightInd/>
              <w:snapToGrid/>
              <w:spacing w:line="320" w:lineRule="exact"/>
              <w:textAlignment w:val="auto"/>
              <w:rPr>
                <w:rFonts w:ascii="Arial Unicode MS" w:hAnsi="Arial Unicode MS" w:eastAsia="仿宋_GB2312"/>
                <w:kern w:val="2"/>
                <w:sz w:val="21"/>
                <w:szCs w:val="21"/>
                <w:lang w:eastAsia="zh-CN"/>
              </w:rPr>
            </w:pPr>
            <w:r>
              <w:rPr>
                <w:rFonts w:hint="eastAsia" w:ascii="Arial Unicode MS" w:hAnsi="Arial Unicode MS" w:eastAsia="仿宋_GB2312"/>
                <w:kern w:val="2"/>
                <w:sz w:val="21"/>
                <w:szCs w:val="21"/>
                <w:lang w:eastAsia="zh-CN"/>
              </w:rPr>
              <w:t>4.协助总经理开展公司日常生产经营管理工作，组织实施董事会决议，分管技术研发、产品交付、科技创新与外部生态相关业务；</w:t>
            </w:r>
          </w:p>
          <w:p w14:paraId="55E9BCD8">
            <w:pPr>
              <w:pStyle w:val="12"/>
              <w:keepNext w:val="0"/>
              <w:keepLines w:val="0"/>
              <w:pageBreakBefore w:val="0"/>
              <w:widowControl/>
              <w:kinsoku/>
              <w:wordWrap/>
              <w:overflowPunct/>
              <w:topLinePunct w:val="0"/>
              <w:autoSpaceDE/>
              <w:autoSpaceDN/>
              <w:bidi w:val="0"/>
              <w:adjustRightInd/>
              <w:snapToGrid/>
              <w:spacing w:line="320" w:lineRule="exact"/>
              <w:textAlignment w:val="auto"/>
              <w:rPr>
                <w:rFonts w:ascii="Arial Unicode MS" w:hAnsi="Arial Unicode MS" w:eastAsia="仿宋_GB2312"/>
                <w:kern w:val="2"/>
                <w:sz w:val="21"/>
                <w:szCs w:val="21"/>
                <w:lang w:eastAsia="zh-CN"/>
              </w:rPr>
            </w:pPr>
            <w:r>
              <w:rPr>
                <w:rFonts w:hint="eastAsia" w:ascii="Arial Unicode MS" w:hAnsi="Arial Unicode MS" w:eastAsia="仿宋_GB2312"/>
                <w:kern w:val="2"/>
                <w:sz w:val="21"/>
                <w:szCs w:val="21"/>
                <w:lang w:eastAsia="zh-CN"/>
              </w:rPr>
              <w:t>5.协助总经理实施公司年度经营计划和投融资方案，对分管领域经营目标达成、技术风险管控与重大科技项目管理负责，并对结果负直接责任；</w:t>
            </w:r>
          </w:p>
          <w:p w14:paraId="645CC59E">
            <w:pPr>
              <w:pStyle w:val="12"/>
              <w:keepNext w:val="0"/>
              <w:keepLines w:val="0"/>
              <w:pageBreakBefore w:val="0"/>
              <w:widowControl/>
              <w:kinsoku/>
              <w:wordWrap/>
              <w:overflowPunct/>
              <w:topLinePunct w:val="0"/>
              <w:autoSpaceDE/>
              <w:autoSpaceDN/>
              <w:bidi w:val="0"/>
              <w:adjustRightInd/>
              <w:snapToGrid/>
              <w:spacing w:line="320" w:lineRule="exact"/>
              <w:textAlignment w:val="auto"/>
              <w:rPr>
                <w:rFonts w:ascii="Arial Unicode MS" w:hAnsi="Arial Unicode MS" w:eastAsia="仿宋_GB2312"/>
                <w:kern w:val="2"/>
                <w:sz w:val="21"/>
                <w:szCs w:val="21"/>
                <w:lang w:eastAsia="zh-CN"/>
              </w:rPr>
            </w:pPr>
            <w:r>
              <w:rPr>
                <w:rFonts w:hint="eastAsia" w:ascii="Arial Unicode MS" w:hAnsi="Arial Unicode MS" w:eastAsia="仿宋_GB2312"/>
                <w:kern w:val="2"/>
                <w:sz w:val="21"/>
                <w:szCs w:val="21"/>
                <w:lang w:eastAsia="zh-CN"/>
              </w:rPr>
              <w:t>6.协助总经理组织制订、细化、完善公司技术标准、研发管理办法、产品工程规范及信息系统运行管理相关制度；</w:t>
            </w:r>
          </w:p>
          <w:p w14:paraId="310D9415">
            <w:pPr>
              <w:pStyle w:val="12"/>
              <w:keepNext w:val="0"/>
              <w:keepLines w:val="0"/>
              <w:pageBreakBefore w:val="0"/>
              <w:widowControl/>
              <w:kinsoku/>
              <w:wordWrap/>
              <w:overflowPunct/>
              <w:topLinePunct w:val="0"/>
              <w:autoSpaceDE/>
              <w:autoSpaceDN/>
              <w:bidi w:val="0"/>
              <w:adjustRightInd/>
              <w:snapToGrid/>
              <w:spacing w:line="320" w:lineRule="exact"/>
              <w:textAlignment w:val="auto"/>
              <w:rPr>
                <w:rFonts w:ascii="Arial Unicode MS" w:hAnsi="Arial Unicode MS" w:eastAsia="仿宋_GB2312"/>
                <w:kern w:val="2"/>
                <w:sz w:val="21"/>
                <w:szCs w:val="21"/>
                <w:lang w:eastAsia="zh-CN"/>
              </w:rPr>
            </w:pPr>
            <w:r>
              <w:rPr>
                <w:rFonts w:hint="eastAsia" w:ascii="Arial Unicode MS" w:hAnsi="Arial Unicode MS" w:eastAsia="仿宋_GB2312"/>
                <w:kern w:val="2"/>
                <w:sz w:val="21"/>
                <w:szCs w:val="21"/>
                <w:lang w:eastAsia="zh-CN"/>
              </w:rPr>
              <w:t>7.协助总经理完善公司组织架构，参与技术中心、产品研发部门及科研项目管理体系的组织设计与岗位体系建设；</w:t>
            </w:r>
          </w:p>
          <w:p w14:paraId="704F86C2">
            <w:pPr>
              <w:pStyle w:val="12"/>
              <w:keepNext w:val="0"/>
              <w:keepLines w:val="0"/>
              <w:pageBreakBefore w:val="0"/>
              <w:widowControl/>
              <w:kinsoku/>
              <w:wordWrap/>
              <w:overflowPunct/>
              <w:topLinePunct w:val="0"/>
              <w:autoSpaceDE/>
              <w:autoSpaceDN/>
              <w:bidi w:val="0"/>
              <w:adjustRightInd/>
              <w:snapToGrid/>
              <w:spacing w:line="320" w:lineRule="exact"/>
              <w:textAlignment w:val="auto"/>
              <w:rPr>
                <w:rFonts w:ascii="Arial Unicode MS" w:hAnsi="Arial Unicode MS" w:eastAsia="仿宋_GB2312"/>
                <w:kern w:val="2"/>
                <w:sz w:val="21"/>
                <w:szCs w:val="21"/>
                <w:lang w:eastAsia="zh-CN"/>
              </w:rPr>
            </w:pPr>
            <w:r>
              <w:rPr>
                <w:rFonts w:hint="eastAsia" w:ascii="Arial Unicode MS" w:hAnsi="Arial Unicode MS" w:eastAsia="仿宋_GB2312"/>
                <w:kern w:val="2"/>
                <w:sz w:val="21"/>
                <w:szCs w:val="21"/>
                <w:lang w:eastAsia="zh-CN"/>
              </w:rPr>
              <w:t>8.协助总经理组织建立健全公司技术研发与产品交付管理体系，推动研发流程与质量管控体系运行，并参与业务流程的优化调整；</w:t>
            </w:r>
          </w:p>
          <w:p w14:paraId="2EB50761">
            <w:pPr>
              <w:pStyle w:val="12"/>
              <w:keepNext w:val="0"/>
              <w:keepLines w:val="0"/>
              <w:pageBreakBefore w:val="0"/>
              <w:widowControl/>
              <w:kinsoku/>
              <w:wordWrap/>
              <w:overflowPunct/>
              <w:topLinePunct w:val="0"/>
              <w:autoSpaceDE/>
              <w:autoSpaceDN/>
              <w:bidi w:val="0"/>
              <w:adjustRightInd/>
              <w:snapToGrid/>
              <w:spacing w:line="320" w:lineRule="exact"/>
              <w:textAlignment w:val="auto"/>
              <w:rPr>
                <w:rFonts w:ascii="Arial Unicode MS" w:hAnsi="Arial Unicode MS" w:eastAsia="仿宋_GB2312"/>
                <w:kern w:val="2"/>
                <w:sz w:val="21"/>
                <w:szCs w:val="21"/>
                <w:lang w:eastAsia="zh-CN"/>
              </w:rPr>
            </w:pPr>
            <w:r>
              <w:rPr>
                <w:rFonts w:hint="eastAsia" w:ascii="Arial Unicode MS" w:hAnsi="Arial Unicode MS" w:eastAsia="仿宋_GB2312"/>
                <w:kern w:val="2"/>
                <w:sz w:val="21"/>
                <w:szCs w:val="21"/>
                <w:lang w:eastAsia="zh-CN"/>
              </w:rPr>
              <w:t>9.代表公司开展科技创新与产业生态相关公共关系活动，保持与高校、科研院所、同业企业、行业组织及政府主管部门的沟通合作，树立良好的企业形象；</w:t>
            </w:r>
          </w:p>
          <w:p w14:paraId="5D0C942E">
            <w:pPr>
              <w:pStyle w:val="12"/>
              <w:keepNext w:val="0"/>
              <w:keepLines w:val="0"/>
              <w:pageBreakBefore w:val="0"/>
              <w:widowControl/>
              <w:kinsoku/>
              <w:wordWrap/>
              <w:overflowPunct/>
              <w:topLinePunct w:val="0"/>
              <w:autoSpaceDE/>
              <w:autoSpaceDN/>
              <w:bidi w:val="0"/>
              <w:adjustRightInd/>
              <w:snapToGrid/>
              <w:spacing w:line="320" w:lineRule="exact"/>
              <w:textAlignment w:val="auto"/>
              <w:rPr>
                <w:rFonts w:ascii="Arial Unicode MS" w:hAnsi="Arial Unicode MS" w:eastAsia="仿宋_GB2312"/>
                <w:kern w:val="2"/>
                <w:sz w:val="21"/>
                <w:szCs w:val="21"/>
                <w:lang w:eastAsia="zh-CN"/>
              </w:rPr>
            </w:pPr>
            <w:r>
              <w:rPr>
                <w:rFonts w:hint="eastAsia" w:ascii="Arial Unicode MS" w:hAnsi="Arial Unicode MS" w:eastAsia="仿宋_GB2312"/>
                <w:kern w:val="2"/>
                <w:sz w:val="21"/>
                <w:szCs w:val="21"/>
                <w:lang w:eastAsia="zh-CN"/>
              </w:rPr>
              <w:t>10.建立公司内部良好的技术沟通与协作机制，协调各部门的技术与产品协作关系；</w:t>
            </w:r>
          </w:p>
          <w:p w14:paraId="35411851">
            <w:pPr>
              <w:pStyle w:val="12"/>
              <w:keepNext w:val="0"/>
              <w:keepLines w:val="0"/>
              <w:pageBreakBefore w:val="0"/>
              <w:widowControl/>
              <w:kinsoku/>
              <w:wordWrap/>
              <w:overflowPunct/>
              <w:topLinePunct w:val="0"/>
              <w:autoSpaceDE/>
              <w:autoSpaceDN/>
              <w:bidi w:val="0"/>
              <w:adjustRightInd/>
              <w:snapToGrid/>
              <w:spacing w:line="320" w:lineRule="exact"/>
              <w:textAlignment w:val="auto"/>
              <w:rPr>
                <w:rFonts w:ascii="Arial Unicode MS" w:hAnsi="Arial Unicode MS" w:eastAsia="仿宋_GB2312"/>
                <w:kern w:val="2"/>
                <w:sz w:val="21"/>
                <w:szCs w:val="21"/>
                <w:lang w:eastAsia="zh-CN"/>
              </w:rPr>
            </w:pPr>
            <w:r>
              <w:rPr>
                <w:rFonts w:hint="eastAsia" w:ascii="Arial Unicode MS" w:hAnsi="Arial Unicode MS" w:eastAsia="仿宋_GB2312"/>
                <w:kern w:val="2"/>
                <w:sz w:val="21"/>
                <w:szCs w:val="21"/>
                <w:lang w:eastAsia="zh-CN"/>
              </w:rPr>
              <w:t>11.签署权限范围内的技术研发合同、合作协议及与分管领域相关的重要法律文书、公告等文件；</w:t>
            </w:r>
          </w:p>
          <w:p w14:paraId="3C44406D">
            <w:pPr>
              <w:pStyle w:val="12"/>
              <w:keepNext w:val="0"/>
              <w:keepLines w:val="0"/>
              <w:pageBreakBefore w:val="0"/>
              <w:widowControl/>
              <w:kinsoku/>
              <w:wordWrap/>
              <w:overflowPunct/>
              <w:topLinePunct w:val="0"/>
              <w:autoSpaceDE/>
              <w:autoSpaceDN/>
              <w:bidi w:val="0"/>
              <w:adjustRightInd/>
              <w:snapToGrid/>
              <w:spacing w:line="320" w:lineRule="exact"/>
              <w:textAlignment w:val="auto"/>
              <w:rPr>
                <w:rFonts w:ascii="Arial Unicode MS" w:hAnsi="Arial Unicode MS" w:eastAsia="仿宋_GB2312"/>
                <w:kern w:val="2"/>
                <w:sz w:val="21"/>
                <w:szCs w:val="21"/>
                <w:lang w:eastAsia="zh-CN"/>
              </w:rPr>
            </w:pPr>
            <w:r>
              <w:rPr>
                <w:rFonts w:hint="eastAsia" w:ascii="Arial Unicode MS" w:hAnsi="Arial Unicode MS" w:eastAsia="仿宋_GB2312"/>
                <w:kern w:val="2"/>
                <w:sz w:val="21"/>
                <w:szCs w:val="21"/>
                <w:lang w:eastAsia="zh-CN"/>
              </w:rPr>
              <w:t>12.负责处理分管领域的重大突发事件与重大技术风险事件，及时向总经理汇报；</w:t>
            </w:r>
          </w:p>
          <w:p w14:paraId="50C42A65">
            <w:pPr>
              <w:pStyle w:val="12"/>
              <w:keepNext w:val="0"/>
              <w:keepLines w:val="0"/>
              <w:pageBreakBefore w:val="0"/>
              <w:widowControl/>
              <w:kinsoku/>
              <w:wordWrap/>
              <w:overflowPunct/>
              <w:topLinePunct w:val="0"/>
              <w:autoSpaceDE/>
              <w:autoSpaceDN/>
              <w:bidi w:val="0"/>
              <w:adjustRightInd/>
              <w:snapToGrid/>
              <w:spacing w:line="320" w:lineRule="exact"/>
              <w:textAlignment w:val="auto"/>
              <w:rPr>
                <w:rFonts w:ascii="Arial Unicode MS" w:hAnsi="Arial Unicode MS" w:eastAsia="仿宋_GB2312"/>
                <w:kern w:val="2"/>
                <w:sz w:val="21"/>
                <w:szCs w:val="21"/>
                <w:lang w:eastAsia="zh-CN"/>
              </w:rPr>
            </w:pPr>
            <w:r>
              <w:rPr>
                <w:rFonts w:hint="eastAsia" w:ascii="Arial Unicode MS" w:hAnsi="Arial Unicode MS" w:eastAsia="仿宋_GB2312"/>
                <w:kern w:val="2"/>
                <w:sz w:val="21"/>
                <w:szCs w:val="21"/>
                <w:lang w:eastAsia="zh-CN"/>
              </w:rPr>
              <w:t>13.行使总经理授权的其他职权；</w:t>
            </w:r>
          </w:p>
          <w:p w14:paraId="29CEB5B7">
            <w:pPr>
              <w:pStyle w:val="12"/>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Arial Unicode MS" w:hAnsi="Arial Unicode MS" w:eastAsia="仿宋_GB2312"/>
                <w:kern w:val="2"/>
                <w:sz w:val="21"/>
                <w:szCs w:val="21"/>
                <w:lang w:eastAsia="zh-CN"/>
              </w:rPr>
            </w:pPr>
            <w:r>
              <w:rPr>
                <w:rFonts w:hint="eastAsia" w:ascii="Arial Unicode MS" w:hAnsi="Arial Unicode MS" w:eastAsia="仿宋_GB2312"/>
                <w:kern w:val="2"/>
                <w:sz w:val="21"/>
                <w:szCs w:val="21"/>
                <w:lang w:eastAsia="zh-CN"/>
              </w:rPr>
              <w:t>14.完成上级交办的其他任务。</w:t>
            </w:r>
          </w:p>
          <w:p w14:paraId="6AE9CD9A">
            <w:pPr>
              <w:pStyle w:val="12"/>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Arial Unicode MS" w:hAnsi="Arial Unicode MS" w:eastAsia="仿宋_GB2312"/>
                <w:kern w:val="2"/>
                <w:sz w:val="24"/>
                <w:szCs w:val="24"/>
                <w:lang w:eastAsia="zh-CN"/>
              </w:rPr>
            </w:pPr>
          </w:p>
        </w:tc>
      </w:tr>
      <w:tr w14:paraId="2BBD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640" w:type="dxa"/>
            <w:gridSpan w:val="4"/>
            <w:shd w:val="clear" w:color="auto" w:fill="D8D8D8"/>
            <w:vAlign w:val="center"/>
          </w:tcPr>
          <w:p w14:paraId="40240302">
            <w:pPr>
              <w:spacing w:line="400" w:lineRule="exact"/>
              <w:jc w:val="center"/>
              <w:rPr>
                <w:rFonts w:ascii="Arial Unicode MS" w:hAnsi="Arial Unicode MS" w:eastAsia="仿宋_GB2312"/>
                <w:b/>
                <w:sz w:val="24"/>
              </w:rPr>
            </w:pPr>
            <w:r>
              <w:rPr>
                <w:rFonts w:hint="eastAsia" w:ascii="Arial Unicode MS" w:hAnsi="Arial Unicode MS" w:eastAsia="仿宋_GB2312"/>
                <w:b/>
                <w:sz w:val="24"/>
              </w:rPr>
              <w:t>三、任职资格</w:t>
            </w:r>
          </w:p>
        </w:tc>
      </w:tr>
      <w:tr w14:paraId="375A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vAlign w:val="center"/>
          </w:tcPr>
          <w:p w14:paraId="5BB8321C">
            <w:pPr>
              <w:spacing w:line="400" w:lineRule="exact"/>
              <w:jc w:val="center"/>
              <w:rPr>
                <w:rFonts w:ascii="Arial Unicode MS" w:hAnsi="Arial Unicode MS" w:eastAsia="仿宋_GB2312"/>
                <w:b/>
                <w:sz w:val="24"/>
              </w:rPr>
            </w:pPr>
            <w:r>
              <w:rPr>
                <w:rFonts w:hint="eastAsia" w:ascii="Arial Unicode MS" w:hAnsi="Arial Unicode MS" w:eastAsia="仿宋_GB2312"/>
                <w:sz w:val="24"/>
              </w:rPr>
              <w:t>任职资格</w:t>
            </w:r>
          </w:p>
        </w:tc>
        <w:tc>
          <w:tcPr>
            <w:tcW w:w="7792" w:type="dxa"/>
            <w:gridSpan w:val="3"/>
            <w:vAlign w:val="center"/>
          </w:tcPr>
          <w:p w14:paraId="7621BEB1">
            <w:pPr>
              <w:pStyle w:val="12"/>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kern w:val="0"/>
                <w:sz w:val="21"/>
                <w:szCs w:val="21"/>
                <w:lang w:eastAsia="zh-CN"/>
              </w:rPr>
            </w:pPr>
          </w:p>
          <w:p w14:paraId="4196FC0C">
            <w:pPr>
              <w:pStyle w:val="12"/>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t>1.具有大学本科及以上学历，计算机科学与技术、软件工程、大数据与人工智能、电子科学与技术等相关专业；具有系统架构设计师、高级工程师、软件评测师等专业技术资格或行业权威认证者优先；</w:t>
            </w:r>
          </w:p>
          <w:p w14:paraId="49B38744">
            <w:pPr>
              <w:pStyle w:val="12"/>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pPr>
            <w:r>
              <w:rPr>
                <w:rFonts w:hint="eastAsia" w:eastAsia="仿宋_GB2312" w:cs="Times New Roman"/>
                <w:color w:val="000000" w:themeColor="text1"/>
                <w:kern w:val="0"/>
                <w:sz w:val="21"/>
                <w:szCs w:val="21"/>
                <w:lang w:val="en-US" w:eastAsia="zh-CN"/>
                <w14:textFill>
                  <w14:solidFill>
                    <w14:schemeClr w14:val="tx1"/>
                  </w14:solidFill>
                </w14:textFill>
              </w:rPr>
              <w:t>2</w:t>
            </w:r>
            <w:r>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t>.具有 10 年以上企业工作经历，其中具有 8 年以上在国资国资监管、政务大数据、政企信息化等领域从事技术研发或技术管理工作经历；具有与应聘企业规模实力相当的企业1年以上副总经理以上领导岗位任职经历或3年以上中层正职领导岗位任职经历；负责公司某一方面或部门、子企业管理工作；具有省级（或以上）国资监管或省属国企数字化转型项目整体负责人经历者优先；</w:t>
            </w:r>
          </w:p>
          <w:p w14:paraId="2BC25C1C">
            <w:pPr>
              <w:pStyle w:val="13"/>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Times New Roman" w:hAnsi="Times New Roman" w:eastAsia="仿宋_GB2312" w:cs="Times New Roman"/>
                <w:color w:val="000000" w:themeColor="text1"/>
                <w:highlight w:val="none"/>
                <w:lang w:eastAsia="zh-CN"/>
                <w14:textFill>
                  <w14:solidFill>
                    <w14:schemeClr w14:val="tx1"/>
                  </w14:solidFill>
                </w14:textFill>
              </w:rPr>
            </w:pP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highlight w:val="none"/>
                <w14:textFill>
                  <w14:solidFill>
                    <w14:schemeClr w14:val="tx1"/>
                  </w14:solidFill>
                </w14:textFill>
              </w:rPr>
              <w:t>年龄</w:t>
            </w:r>
            <w:r>
              <w:rPr>
                <w:rFonts w:hint="default" w:ascii="Times New Roman" w:hAnsi="Times New Roman" w:eastAsia="仿宋_GB2312" w:cs="Times New Roman"/>
                <w:color w:val="000000" w:themeColor="text1"/>
                <w:highlight w:val="none"/>
                <w:lang w:eastAsia="zh-CN"/>
                <w14:textFill>
                  <w14:solidFill>
                    <w14:schemeClr w14:val="tx1"/>
                  </w14:solidFill>
                </w14:textFill>
              </w:rPr>
              <w:t>：</w:t>
            </w:r>
            <w:r>
              <w:rPr>
                <w:rFonts w:hint="eastAsia" w:eastAsia="仿宋_GB2312" w:cs="Times New Roman"/>
                <w:color w:val="000000" w:themeColor="text1"/>
                <w:highlight w:val="none"/>
                <w:lang w:val="en-US" w:eastAsia="zh-CN"/>
                <w14:textFill>
                  <w14:solidFill>
                    <w14:schemeClr w14:val="tx1"/>
                  </w14:solidFill>
                </w14:textFill>
              </w:rPr>
              <w:t>45</w:t>
            </w:r>
            <w:r>
              <w:rPr>
                <w:rFonts w:hint="default" w:ascii="Times New Roman" w:hAnsi="Times New Roman" w:eastAsia="仿宋_GB2312" w:cs="Times New Roman"/>
                <w:color w:val="000000" w:themeColor="text1"/>
                <w:highlight w:val="none"/>
                <w14:textFill>
                  <w14:solidFill>
                    <w14:schemeClr w14:val="tx1"/>
                  </w14:solidFill>
                </w14:textFill>
              </w:rPr>
              <w:t>周岁</w:t>
            </w:r>
            <w:r>
              <w:rPr>
                <w:rFonts w:hint="default" w:ascii="Times New Roman" w:hAnsi="Times New Roman" w:eastAsia="仿宋_GB2312" w:cs="Times New Roman"/>
                <w:color w:val="000000" w:themeColor="text1"/>
                <w:highlight w:val="none"/>
                <w:lang w:eastAsia="zh-CN"/>
                <w14:textFill>
                  <w14:solidFill>
                    <w14:schemeClr w14:val="tx1"/>
                  </w14:solidFill>
                </w14:textFill>
              </w:rPr>
              <w:t>（</w:t>
            </w: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含</w:t>
            </w:r>
            <w:r>
              <w:rPr>
                <w:rFonts w:hint="default" w:ascii="Times New Roman" w:hAnsi="Times New Roman" w:eastAsia="仿宋_GB2312" w:cs="Times New Roman"/>
                <w:color w:val="000000" w:themeColor="text1"/>
                <w:highlight w:val="none"/>
                <w:lang w:eastAsia="zh-CN"/>
                <w14:textFill>
                  <w14:solidFill>
                    <w14:schemeClr w14:val="tx1"/>
                  </w14:solidFill>
                </w14:textFill>
              </w:rPr>
              <w:t>）</w:t>
            </w:r>
            <w:r>
              <w:rPr>
                <w:rFonts w:hint="default" w:ascii="Times New Roman" w:hAnsi="Times New Roman" w:eastAsia="仿宋_GB2312" w:cs="Times New Roman"/>
                <w:color w:val="000000" w:themeColor="text1"/>
                <w:highlight w:val="none"/>
                <w14:textFill>
                  <w14:solidFill>
                    <w14:schemeClr w14:val="tx1"/>
                  </w14:solidFill>
                </w14:textFill>
              </w:rPr>
              <w:t>以下</w:t>
            </w:r>
            <w:r>
              <w:rPr>
                <w:rFonts w:hint="default" w:ascii="Times New Roman" w:hAnsi="Times New Roman" w:eastAsia="仿宋_GB2312" w:cs="Times New Roman"/>
                <w:color w:val="000000" w:themeColor="text1"/>
                <w:highlight w:val="none"/>
                <w:lang w:eastAsia="zh-CN"/>
                <w14:textFill>
                  <w14:solidFill>
                    <w14:schemeClr w14:val="tx1"/>
                  </w14:solidFill>
                </w14:textFill>
              </w:rPr>
              <w:t>；</w:t>
            </w:r>
          </w:p>
          <w:p w14:paraId="4D6FAAAA">
            <w:pPr>
              <w:pStyle w:val="13"/>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Times New Roman" w:hAnsi="Times New Roman" w:eastAsia="仿宋_GB2312" w:cs="Times New Roman"/>
                <w:color w:val="000000" w:themeColor="text1"/>
                <w:highlight w:val="none"/>
                <w14:textFill>
                  <w14:solidFill>
                    <w14:schemeClr w14:val="tx1"/>
                  </w14:solidFill>
                </w14:textFill>
              </w:rPr>
            </w:pP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4.政治面貌：不限，</w:t>
            </w:r>
            <w:r>
              <w:rPr>
                <w:rFonts w:hint="default" w:ascii="Times New Roman" w:hAnsi="Times New Roman" w:eastAsia="仿宋_GB2312" w:cs="Times New Roman"/>
                <w:color w:val="000000" w:themeColor="text1"/>
                <w:highlight w:val="none"/>
                <w14:textFill>
                  <w14:solidFill>
                    <w14:schemeClr w14:val="tx1"/>
                  </w14:solidFill>
                </w14:textFill>
              </w:rPr>
              <w:t>中共党员</w:t>
            </w: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优先；</w:t>
            </w:r>
          </w:p>
          <w:p w14:paraId="7768144F">
            <w:pPr>
              <w:pStyle w:val="12"/>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pPr>
            <w:r>
              <w:rPr>
                <w:rFonts w:hint="eastAsia" w:ascii="Times New Roman" w:hAnsi="Times New Roman" w:eastAsia="仿宋_GB2312" w:cs="Times New Roman"/>
                <w:color w:val="000000" w:themeColor="text1"/>
                <w:kern w:val="0"/>
                <w:sz w:val="21"/>
                <w:szCs w:val="21"/>
                <w:lang w:val="en-US" w:eastAsia="zh-CN"/>
                <w14:textFill>
                  <w14:solidFill>
                    <w14:schemeClr w14:val="tx1"/>
                  </w14:solidFill>
                </w14:textFill>
              </w:rPr>
              <w:t>5</w:t>
            </w:r>
            <w:r>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t>.具有现代企业管理基本知识，熟悉国家有关科技、信息化、数据要素、人工智能等方面的政策法规，具备较强的战略决策、政策研判与综合分析能力；</w:t>
            </w:r>
          </w:p>
          <w:p w14:paraId="42274360">
            <w:pPr>
              <w:pStyle w:val="12"/>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pPr>
            <w:r>
              <w:rPr>
                <w:rFonts w:hint="eastAsia" w:ascii="Times New Roman" w:hAnsi="Times New Roman" w:eastAsia="仿宋_GB2312" w:cs="Times New Roman"/>
                <w:color w:val="000000" w:themeColor="text1"/>
                <w:kern w:val="0"/>
                <w:sz w:val="21"/>
                <w:szCs w:val="21"/>
                <w:lang w:val="en-US" w:eastAsia="zh-CN"/>
                <w14:textFill>
                  <w14:solidFill>
                    <w14:schemeClr w14:val="tx1"/>
                  </w14:solidFill>
                </w14:textFill>
              </w:rPr>
              <w:t>6</w:t>
            </w:r>
            <w:r>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t>.具有扎实的技术架构能力与深厚工程实践积累，熟悉分布式、高可用、高并发、云原生、大数据、人工智能等主流技术体系，熟悉 AI 智能体及大模型工程化落地路径与应用架构，掌握软件研发全生命周期管理与代码治理方法论；</w:t>
            </w:r>
          </w:p>
          <w:p w14:paraId="465FF823">
            <w:pPr>
              <w:pStyle w:val="12"/>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pPr>
            <w:r>
              <w:rPr>
                <w:rFonts w:hint="eastAsia" w:ascii="Times New Roman" w:hAnsi="Times New Roman" w:eastAsia="仿宋_GB2312" w:cs="Times New Roman"/>
                <w:color w:val="000000" w:themeColor="text1"/>
                <w:kern w:val="0"/>
                <w:sz w:val="21"/>
                <w:szCs w:val="21"/>
                <w:lang w:val="en-US" w:eastAsia="zh-CN"/>
                <w14:textFill>
                  <w14:solidFill>
                    <w14:schemeClr w14:val="tx1"/>
                  </w14:solidFill>
                </w14:textFill>
              </w:rPr>
              <w:t>7</w:t>
            </w:r>
            <w:r>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t>.具备大型研发团队管理经验，作为主要负责人管理过不少于 30 人规模技术团队或主导过跨机构、跨部门大型协同项目，并具备技术人才梯队建设与组织效能提升的能力；</w:t>
            </w:r>
          </w:p>
          <w:p w14:paraId="5F921DC6">
            <w:pPr>
              <w:pStyle w:val="12"/>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pPr>
            <w:r>
              <w:rPr>
                <w:rFonts w:hint="eastAsia" w:ascii="Times New Roman" w:hAnsi="Times New Roman" w:eastAsia="仿宋_GB2312" w:cs="Times New Roman"/>
                <w:color w:val="000000" w:themeColor="text1"/>
                <w:kern w:val="0"/>
                <w:sz w:val="21"/>
                <w:szCs w:val="21"/>
                <w:lang w:val="en-US" w:eastAsia="zh-CN"/>
                <w14:textFill>
                  <w14:solidFill>
                    <w14:schemeClr w14:val="tx1"/>
                  </w14:solidFill>
                </w14:textFill>
              </w:rPr>
              <w:t>8</w:t>
            </w:r>
            <w:r>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t>.作为项目负责人或核心技术骨干，主导或深度参与过省级（或以上）国资监管类、智慧国资平台、政务大数据平台或大型产业互联网核心产品的规划、研发与交付，对项目最终成果负直接责任；具有国企投资、运营、生产等业务板块整体智能化改造与跨板块数据互通经验者优先；</w:t>
            </w:r>
          </w:p>
          <w:p w14:paraId="0D6640FB">
            <w:pPr>
              <w:pStyle w:val="12"/>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pPr>
            <w:r>
              <w:rPr>
                <w:rFonts w:hint="eastAsia" w:ascii="Times New Roman" w:hAnsi="Times New Roman" w:eastAsia="仿宋_GB2312" w:cs="Times New Roman"/>
                <w:color w:val="000000" w:themeColor="text1"/>
                <w:kern w:val="0"/>
                <w:sz w:val="21"/>
                <w:szCs w:val="21"/>
                <w:lang w:val="en-US" w:eastAsia="zh-CN"/>
                <w14:textFill>
                  <w14:solidFill>
                    <w14:schemeClr w14:val="tx1"/>
                  </w14:solidFill>
                </w14:textFill>
              </w:rPr>
              <w:t>9</w:t>
            </w:r>
            <w:r>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t>.具备丰富的研发流程建设、技术质量管控、工程效能提升与数据治理经验；具有数据中台、AI 平台、智能体平台或基础产品体系从 0 到 1 规划及多项目落地推广经验者优先；</w:t>
            </w:r>
          </w:p>
          <w:p w14:paraId="0834F94D">
            <w:pPr>
              <w:pStyle w:val="12"/>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 w:val="21"/>
                <w:szCs w:val="21"/>
                <w:lang w:val="en-US" w:eastAsia="zh-CN"/>
                <w14:textFill>
                  <w14:solidFill>
                    <w14:schemeClr w14:val="tx1"/>
                  </w14:solidFill>
                </w14:textFill>
              </w:rPr>
              <w:t>1</w:t>
            </w:r>
            <w:r>
              <w:rPr>
                <w:rFonts w:hint="eastAsia" w:ascii="Times New Roman" w:hAnsi="Times New Roman" w:eastAsia="仿宋_GB2312" w:cs="Times New Roman"/>
                <w:color w:val="000000" w:themeColor="text1"/>
                <w:kern w:val="0"/>
                <w:sz w:val="21"/>
                <w:szCs w:val="21"/>
                <w:lang w:val="en-US" w:eastAsia="zh-CN"/>
                <w14:textFill>
                  <w14:solidFill>
                    <w14:schemeClr w14:val="tx1"/>
                  </w14:solidFill>
                </w14:textFill>
              </w:rPr>
              <w:t>0</w:t>
            </w:r>
            <w:r>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t>.具有较强的政企公共关系与行业资源整合能力，具有产学研项目统筹与跨机构协同经验者优先；</w:t>
            </w:r>
          </w:p>
          <w:p w14:paraId="362C8C28">
            <w:pPr>
              <w:pStyle w:val="12"/>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 w:val="21"/>
                <w:szCs w:val="21"/>
                <w:lang w:val="en-US" w:eastAsia="zh-CN"/>
                <w14:textFill>
                  <w14:solidFill>
                    <w14:schemeClr w14:val="tx1"/>
                  </w14:solidFill>
                </w14:textFill>
              </w:rPr>
              <w:t>1</w:t>
            </w:r>
            <w:r>
              <w:rPr>
                <w:rFonts w:hint="eastAsia" w:ascii="Times New Roman" w:hAnsi="Times New Roman" w:eastAsia="仿宋_GB2312" w:cs="Times New Roman"/>
                <w:color w:val="000000" w:themeColor="text1"/>
                <w:kern w:val="0"/>
                <w:sz w:val="21"/>
                <w:szCs w:val="21"/>
                <w:lang w:val="en-US" w:eastAsia="zh-CN"/>
                <w14:textFill>
                  <w14:solidFill>
                    <w14:schemeClr w14:val="tx1"/>
                  </w14:solidFill>
                </w14:textFill>
              </w:rPr>
              <w:t>1</w:t>
            </w:r>
            <w:r>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t>.具有较强的战略思维、改革创新能力和市场应变能力，爱岗敬业、品行端正、责任心强，具备良好的抗压能力与领导力；</w:t>
            </w:r>
          </w:p>
          <w:p w14:paraId="06A40095">
            <w:pPr>
              <w:pStyle w:val="12"/>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t>1</w:t>
            </w:r>
            <w:r>
              <w:rPr>
                <w:rFonts w:hint="eastAsia" w:ascii="Times New Roman" w:hAnsi="Times New Roman" w:eastAsia="仿宋_GB2312" w:cs="Times New Roman"/>
                <w:color w:val="000000" w:themeColor="text1"/>
                <w:kern w:val="0"/>
                <w:sz w:val="21"/>
                <w:szCs w:val="21"/>
                <w:lang w:val="en-US" w:eastAsia="zh-CN"/>
                <w14:textFill>
                  <w14:solidFill>
                    <w14:schemeClr w14:val="tx1"/>
                  </w14:solidFill>
                </w14:textFill>
              </w:rPr>
              <w:t>2</w:t>
            </w:r>
            <w:r>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t>.具有正常履行职责的身体条件；</w:t>
            </w:r>
            <w:bookmarkStart w:id="0" w:name="_GoBack"/>
            <w:bookmarkEnd w:id="0"/>
          </w:p>
          <w:p w14:paraId="48DCD09D">
            <w:pPr>
              <w:pStyle w:val="12"/>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t>1</w:t>
            </w:r>
            <w:r>
              <w:rPr>
                <w:rFonts w:hint="eastAsia" w:ascii="Times New Roman" w:hAnsi="Times New Roman" w:eastAsia="仿宋_GB2312" w:cs="Times New Roman"/>
                <w:color w:val="000000" w:themeColor="text1"/>
                <w:kern w:val="0"/>
                <w:sz w:val="21"/>
                <w:szCs w:val="21"/>
                <w:lang w:val="en-US" w:eastAsia="zh-CN"/>
                <w14:textFill>
                  <w14:solidFill>
                    <w14:schemeClr w14:val="tx1"/>
                  </w14:solidFill>
                </w14:textFill>
              </w:rPr>
              <w:t>3</w:t>
            </w:r>
            <w:r>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t>.</w:t>
            </w:r>
            <w:r>
              <w:rPr>
                <w:rFonts w:hint="default" w:ascii="Times New Roman" w:hAnsi="Times New Roman" w:eastAsia="仿宋_GB2312" w:cs="Times New Roman"/>
                <w:color w:val="000000" w:themeColor="text1"/>
                <w:kern w:val="0"/>
                <w:sz w:val="21"/>
                <w:szCs w:val="21"/>
                <w:lang w:val="en-US" w:eastAsia="zh-CN"/>
                <w14:textFill>
                  <w14:solidFill>
                    <w14:schemeClr w14:val="tx1"/>
                  </w14:solidFill>
                </w14:textFill>
              </w:rPr>
              <w:t>特别优秀者，可适当放宽条件。</w:t>
            </w:r>
          </w:p>
          <w:p w14:paraId="03D9F152">
            <w:pPr>
              <w:pStyle w:val="12"/>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Arial Unicode MS" w:hAnsi="Arial Unicode MS" w:eastAsia="仿宋_GB2312"/>
                <w:kern w:val="0"/>
                <w:sz w:val="24"/>
                <w:szCs w:val="24"/>
                <w:lang w:eastAsia="zh-CN"/>
              </w:rPr>
            </w:pPr>
          </w:p>
        </w:tc>
      </w:tr>
      <w:tr w14:paraId="7731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vAlign w:val="center"/>
          </w:tcPr>
          <w:p w14:paraId="41747DFD">
            <w:pPr>
              <w:spacing w:line="400" w:lineRule="exact"/>
              <w:rPr>
                <w:rFonts w:ascii="Arial Unicode MS" w:hAnsi="Arial Unicode MS" w:eastAsia="仿宋_GB2312"/>
                <w:sz w:val="24"/>
              </w:rPr>
            </w:pPr>
            <w:r>
              <w:rPr>
                <w:rFonts w:hint="eastAsia" w:ascii="Arial Unicode MS" w:hAnsi="Arial Unicode MS" w:eastAsia="仿宋_GB2312" w:cs="仿宋_GB2312"/>
                <w:sz w:val="24"/>
              </w:rPr>
              <w:t>用人理 由</w:t>
            </w:r>
          </w:p>
        </w:tc>
        <w:tc>
          <w:tcPr>
            <w:tcW w:w="7792" w:type="dxa"/>
            <w:gridSpan w:val="3"/>
            <w:vAlign w:val="center"/>
          </w:tcPr>
          <w:p w14:paraId="3E7CC7CB">
            <w:pPr>
              <w:spacing w:line="400" w:lineRule="exact"/>
              <w:rPr>
                <w:rFonts w:ascii="Arial Unicode MS" w:hAnsi="Arial Unicode MS" w:eastAsia="仿宋_GB2312"/>
                <w:sz w:val="24"/>
              </w:rPr>
            </w:pPr>
          </w:p>
        </w:tc>
      </w:tr>
      <w:tr w14:paraId="2691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vAlign w:val="center"/>
          </w:tcPr>
          <w:p w14:paraId="462D1785">
            <w:pPr>
              <w:spacing w:line="400" w:lineRule="exact"/>
              <w:rPr>
                <w:rFonts w:ascii="Arial Unicode MS" w:hAnsi="Arial Unicode MS" w:eastAsia="仿宋_GB2312"/>
                <w:sz w:val="24"/>
              </w:rPr>
            </w:pPr>
            <w:r>
              <w:rPr>
                <w:rFonts w:hint="eastAsia" w:ascii="Arial Unicode MS" w:hAnsi="Arial Unicode MS" w:eastAsia="仿宋_GB2312" w:cs="仿宋_GB2312"/>
                <w:sz w:val="24"/>
              </w:rPr>
              <w:t>招聘渠 道</w:t>
            </w:r>
          </w:p>
        </w:tc>
        <w:tc>
          <w:tcPr>
            <w:tcW w:w="7792" w:type="dxa"/>
            <w:gridSpan w:val="3"/>
            <w:vAlign w:val="center"/>
          </w:tcPr>
          <w:p w14:paraId="4676F79B">
            <w:pPr>
              <w:spacing w:line="400" w:lineRule="exact"/>
              <w:rPr>
                <w:rFonts w:ascii="Arial Unicode MS" w:hAnsi="Arial Unicode MS" w:eastAsia="仿宋_GB2312"/>
                <w:sz w:val="24"/>
              </w:rPr>
            </w:pPr>
          </w:p>
        </w:tc>
      </w:tr>
      <w:tr w14:paraId="5D56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vAlign w:val="center"/>
          </w:tcPr>
          <w:p w14:paraId="74685D25">
            <w:pPr>
              <w:spacing w:line="400" w:lineRule="exact"/>
              <w:rPr>
                <w:rFonts w:ascii="Arial Unicode MS" w:hAnsi="Arial Unicode MS" w:eastAsia="仿宋_GB2312"/>
                <w:sz w:val="24"/>
              </w:rPr>
            </w:pPr>
            <w:r>
              <w:rPr>
                <w:rFonts w:hint="eastAsia" w:ascii="Arial Unicode MS" w:hAnsi="Arial Unicode MS" w:eastAsia="仿宋_GB2312" w:cs="仿宋_GB2312"/>
                <w:sz w:val="24"/>
              </w:rPr>
              <w:t>薪酬范 围</w:t>
            </w:r>
          </w:p>
        </w:tc>
        <w:tc>
          <w:tcPr>
            <w:tcW w:w="7792" w:type="dxa"/>
            <w:gridSpan w:val="3"/>
            <w:vAlign w:val="center"/>
          </w:tcPr>
          <w:p w14:paraId="7B1F19CD">
            <w:pPr>
              <w:spacing w:line="400" w:lineRule="exact"/>
              <w:rPr>
                <w:rFonts w:ascii="Arial Unicode MS" w:hAnsi="Arial Unicode MS" w:eastAsia="仿宋_GB2312"/>
                <w:sz w:val="24"/>
              </w:rPr>
            </w:pPr>
            <w:r>
              <w:rPr>
                <w:rFonts w:ascii="Arial Unicode MS" w:hAnsi="Arial Unicode MS" w:eastAsia="仿宋_GB2312"/>
                <w:sz w:val="24"/>
              </w:rPr>
              <w:t>按照《四川省国有资产经营投资管理有限责任公司所属企业负责人薪酬管理办法》等制度执行</w:t>
            </w:r>
          </w:p>
        </w:tc>
      </w:tr>
    </w:tbl>
    <w:p w14:paraId="18B624B1">
      <w:pPr>
        <w:pStyle w:val="8"/>
        <w:ind w:left="0" w:leftChars="0" w:firstLine="0" w:firstLineChars="0"/>
      </w:pPr>
    </w:p>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AF434E"/>
    <w:rsid w:val="002265F8"/>
    <w:rsid w:val="00441E97"/>
    <w:rsid w:val="00910BD2"/>
    <w:rsid w:val="00BD4409"/>
    <w:rsid w:val="0136383C"/>
    <w:rsid w:val="02D56E31"/>
    <w:rsid w:val="03743F94"/>
    <w:rsid w:val="039840AA"/>
    <w:rsid w:val="05B41169"/>
    <w:rsid w:val="06700D68"/>
    <w:rsid w:val="06A048CA"/>
    <w:rsid w:val="07024AB1"/>
    <w:rsid w:val="071A0F98"/>
    <w:rsid w:val="07520C39"/>
    <w:rsid w:val="07CE7AA6"/>
    <w:rsid w:val="07FC700E"/>
    <w:rsid w:val="09120D9C"/>
    <w:rsid w:val="09186AAA"/>
    <w:rsid w:val="092019A5"/>
    <w:rsid w:val="0A18611B"/>
    <w:rsid w:val="0BE47923"/>
    <w:rsid w:val="0D8C5D1A"/>
    <w:rsid w:val="0DE3083D"/>
    <w:rsid w:val="0EF4563A"/>
    <w:rsid w:val="0FF06A32"/>
    <w:rsid w:val="11AE1162"/>
    <w:rsid w:val="127A5A80"/>
    <w:rsid w:val="127C300E"/>
    <w:rsid w:val="13183FE3"/>
    <w:rsid w:val="14756AFB"/>
    <w:rsid w:val="156417E9"/>
    <w:rsid w:val="15873290"/>
    <w:rsid w:val="15CA22E2"/>
    <w:rsid w:val="18BA663E"/>
    <w:rsid w:val="19C67E8C"/>
    <w:rsid w:val="1A0E6C42"/>
    <w:rsid w:val="1B1B61ED"/>
    <w:rsid w:val="1BC3158E"/>
    <w:rsid w:val="1BFB1448"/>
    <w:rsid w:val="1C053638"/>
    <w:rsid w:val="1C393D1E"/>
    <w:rsid w:val="1C3E4DC8"/>
    <w:rsid w:val="1D0C56EE"/>
    <w:rsid w:val="1D3B061F"/>
    <w:rsid w:val="1D95690D"/>
    <w:rsid w:val="1DC31AF1"/>
    <w:rsid w:val="1E054D8A"/>
    <w:rsid w:val="1FA26CE9"/>
    <w:rsid w:val="20610287"/>
    <w:rsid w:val="20624734"/>
    <w:rsid w:val="22C72912"/>
    <w:rsid w:val="237E455D"/>
    <w:rsid w:val="23F91F7D"/>
    <w:rsid w:val="2460453E"/>
    <w:rsid w:val="24D66985"/>
    <w:rsid w:val="270D6094"/>
    <w:rsid w:val="276179AE"/>
    <w:rsid w:val="286A46C9"/>
    <w:rsid w:val="28C310F0"/>
    <w:rsid w:val="2A591362"/>
    <w:rsid w:val="2A8F5F2E"/>
    <w:rsid w:val="2B2142FB"/>
    <w:rsid w:val="2B5E4A60"/>
    <w:rsid w:val="2BD95237"/>
    <w:rsid w:val="2BFA1B42"/>
    <w:rsid w:val="2C2B7ED9"/>
    <w:rsid w:val="2C694B99"/>
    <w:rsid w:val="2C8E6F44"/>
    <w:rsid w:val="2CAF434E"/>
    <w:rsid w:val="2D1D3F6D"/>
    <w:rsid w:val="2DDD2772"/>
    <w:rsid w:val="2E5F2CE0"/>
    <w:rsid w:val="2E784C53"/>
    <w:rsid w:val="2EC1207D"/>
    <w:rsid w:val="2FED0C50"/>
    <w:rsid w:val="3080110E"/>
    <w:rsid w:val="308301B1"/>
    <w:rsid w:val="322731F3"/>
    <w:rsid w:val="334D378C"/>
    <w:rsid w:val="33765020"/>
    <w:rsid w:val="33FFEBBA"/>
    <w:rsid w:val="354B6B44"/>
    <w:rsid w:val="35EB9268"/>
    <w:rsid w:val="373A6E70"/>
    <w:rsid w:val="38F16595"/>
    <w:rsid w:val="3B3350BF"/>
    <w:rsid w:val="3B6E6A10"/>
    <w:rsid w:val="3BA66882"/>
    <w:rsid w:val="3BFCDBC7"/>
    <w:rsid w:val="3C025A83"/>
    <w:rsid w:val="3CFB08ED"/>
    <w:rsid w:val="3D8D4FB3"/>
    <w:rsid w:val="3E977E3E"/>
    <w:rsid w:val="3EFFF2D0"/>
    <w:rsid w:val="3F53346F"/>
    <w:rsid w:val="3F7BEBCE"/>
    <w:rsid w:val="3FBFFD65"/>
    <w:rsid w:val="3FCD43E7"/>
    <w:rsid w:val="3FF3F2C3"/>
    <w:rsid w:val="42827E14"/>
    <w:rsid w:val="44F56185"/>
    <w:rsid w:val="46E82445"/>
    <w:rsid w:val="472D16FF"/>
    <w:rsid w:val="48A75E35"/>
    <w:rsid w:val="496F78E9"/>
    <w:rsid w:val="4989428A"/>
    <w:rsid w:val="49951F58"/>
    <w:rsid w:val="4A8A1E0C"/>
    <w:rsid w:val="4BAA5C07"/>
    <w:rsid w:val="4C27223F"/>
    <w:rsid w:val="4D953567"/>
    <w:rsid w:val="4D9F1383"/>
    <w:rsid w:val="517D59D4"/>
    <w:rsid w:val="51C13FBE"/>
    <w:rsid w:val="52386AE2"/>
    <w:rsid w:val="52CA1D4B"/>
    <w:rsid w:val="52F200B7"/>
    <w:rsid w:val="533A7893"/>
    <w:rsid w:val="53A47A5F"/>
    <w:rsid w:val="54DB3743"/>
    <w:rsid w:val="54F2495F"/>
    <w:rsid w:val="562E3DDD"/>
    <w:rsid w:val="59376505"/>
    <w:rsid w:val="593F062A"/>
    <w:rsid w:val="5AFF09A9"/>
    <w:rsid w:val="5B79CD31"/>
    <w:rsid w:val="5B9F018C"/>
    <w:rsid w:val="5C3D6937"/>
    <w:rsid w:val="5D3F048D"/>
    <w:rsid w:val="5D676D83"/>
    <w:rsid w:val="5E873E9A"/>
    <w:rsid w:val="5FDB26EF"/>
    <w:rsid w:val="5FE701EF"/>
    <w:rsid w:val="5FEE49C4"/>
    <w:rsid w:val="601E438A"/>
    <w:rsid w:val="628B6284"/>
    <w:rsid w:val="629F199B"/>
    <w:rsid w:val="62B17737"/>
    <w:rsid w:val="64FB277B"/>
    <w:rsid w:val="655820EC"/>
    <w:rsid w:val="6602069F"/>
    <w:rsid w:val="6610409A"/>
    <w:rsid w:val="671C44D9"/>
    <w:rsid w:val="686B193D"/>
    <w:rsid w:val="69047C32"/>
    <w:rsid w:val="6974085D"/>
    <w:rsid w:val="69EF12F9"/>
    <w:rsid w:val="6A257464"/>
    <w:rsid w:val="6B3274A8"/>
    <w:rsid w:val="6B6C8E96"/>
    <w:rsid w:val="6C9937E5"/>
    <w:rsid w:val="6CB558F0"/>
    <w:rsid w:val="6D1C7ED4"/>
    <w:rsid w:val="6D8A12B0"/>
    <w:rsid w:val="6DAC4D70"/>
    <w:rsid w:val="6EBB2E8C"/>
    <w:rsid w:val="6FDF5098"/>
    <w:rsid w:val="70001DE7"/>
    <w:rsid w:val="701319E0"/>
    <w:rsid w:val="70394B0C"/>
    <w:rsid w:val="71E574B6"/>
    <w:rsid w:val="71FC3DC9"/>
    <w:rsid w:val="7216614B"/>
    <w:rsid w:val="72930829"/>
    <w:rsid w:val="737827EA"/>
    <w:rsid w:val="73E53F19"/>
    <w:rsid w:val="744F5002"/>
    <w:rsid w:val="74F6A47A"/>
    <w:rsid w:val="74FDA77E"/>
    <w:rsid w:val="75E31EA6"/>
    <w:rsid w:val="75EEC531"/>
    <w:rsid w:val="76270AF3"/>
    <w:rsid w:val="765666A1"/>
    <w:rsid w:val="76880357"/>
    <w:rsid w:val="76DDFC0E"/>
    <w:rsid w:val="7762288E"/>
    <w:rsid w:val="77FB184D"/>
    <w:rsid w:val="77FEAAB5"/>
    <w:rsid w:val="794013BD"/>
    <w:rsid w:val="798158C1"/>
    <w:rsid w:val="799F2FBA"/>
    <w:rsid w:val="79B5017F"/>
    <w:rsid w:val="7AEE43AA"/>
    <w:rsid w:val="7B141309"/>
    <w:rsid w:val="7B250847"/>
    <w:rsid w:val="7BEF98D2"/>
    <w:rsid w:val="7C5C6B38"/>
    <w:rsid w:val="7D8E5260"/>
    <w:rsid w:val="7DFA4230"/>
    <w:rsid w:val="7DFDEFA1"/>
    <w:rsid w:val="7E0504EA"/>
    <w:rsid w:val="7E27B3EC"/>
    <w:rsid w:val="7E6F3A6E"/>
    <w:rsid w:val="7EBE5E13"/>
    <w:rsid w:val="7EFD05EE"/>
    <w:rsid w:val="7EFE1317"/>
    <w:rsid w:val="7F6AC9CC"/>
    <w:rsid w:val="7F6F4973"/>
    <w:rsid w:val="7F7739B8"/>
    <w:rsid w:val="7FAD25CA"/>
    <w:rsid w:val="7FAFC65A"/>
    <w:rsid w:val="7FCDB36B"/>
    <w:rsid w:val="7FE33109"/>
    <w:rsid w:val="7FF786E5"/>
    <w:rsid w:val="9DFF1924"/>
    <w:rsid w:val="9FBF7B11"/>
    <w:rsid w:val="A5FE0509"/>
    <w:rsid w:val="B77F2BBD"/>
    <w:rsid w:val="B7DE6E1A"/>
    <w:rsid w:val="BBFF7F9F"/>
    <w:rsid w:val="BDEEA96F"/>
    <w:rsid w:val="BDF1ED5D"/>
    <w:rsid w:val="DEFD1153"/>
    <w:rsid w:val="DF47EF8C"/>
    <w:rsid w:val="DFDFB77E"/>
    <w:rsid w:val="DFFF8CD0"/>
    <w:rsid w:val="E7F1CF8F"/>
    <w:rsid w:val="EADF435A"/>
    <w:rsid w:val="ED791EDB"/>
    <w:rsid w:val="EF7FDCF5"/>
    <w:rsid w:val="F4E76AB5"/>
    <w:rsid w:val="F5AFA208"/>
    <w:rsid w:val="F5FF965E"/>
    <w:rsid w:val="F790C756"/>
    <w:rsid w:val="F7BF513E"/>
    <w:rsid w:val="F7EBDAF0"/>
    <w:rsid w:val="F9AF0908"/>
    <w:rsid w:val="FBC7B30F"/>
    <w:rsid w:val="FBF56372"/>
    <w:rsid w:val="FCFF4ECD"/>
    <w:rsid w:val="FD3EB0EE"/>
    <w:rsid w:val="FDBBAD89"/>
    <w:rsid w:val="FDDF5BA5"/>
    <w:rsid w:val="FDEFDB87"/>
    <w:rsid w:val="FDF9E4C7"/>
    <w:rsid w:val="FE7F0114"/>
    <w:rsid w:val="FEBB0687"/>
    <w:rsid w:val="FEFAA402"/>
    <w:rsid w:val="FF3B9E0E"/>
    <w:rsid w:val="FFB4C2DE"/>
    <w:rsid w:val="FFEBECFC"/>
    <w:rsid w:val="FFFE6B7F"/>
    <w:rsid w:val="FFFFCD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line="600" w:lineRule="exact"/>
      <w:jc w:val="center"/>
      <w:outlineLvl w:val="0"/>
    </w:pPr>
    <w:rPr>
      <w:rFonts w:eastAsia="方正小标宋简体"/>
      <w:kern w:val="44"/>
      <w:sz w:val="44"/>
    </w:rPr>
  </w:style>
  <w:style w:type="paragraph" w:styleId="2">
    <w:name w:val="heading 2"/>
    <w:basedOn w:val="1"/>
    <w:next w:val="1"/>
    <w:semiHidden/>
    <w:unhideWhenUsed/>
    <w:qFormat/>
    <w:uiPriority w:val="0"/>
    <w:pPr>
      <w:spacing w:line="600" w:lineRule="exact"/>
      <w:ind w:firstLine="883" w:firstLineChars="200"/>
      <w:jc w:val="left"/>
      <w:outlineLvl w:val="1"/>
    </w:pPr>
    <w:rPr>
      <w:rFonts w:hint="eastAsia" w:ascii="宋体" w:hAnsi="宋体" w:eastAsia="黑体"/>
      <w:kern w:val="0"/>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style>
  <w:style w:type="paragraph" w:styleId="7">
    <w:name w:val="Normal (Web)"/>
    <w:basedOn w:val="1"/>
    <w:qFormat/>
    <w:uiPriority w:val="0"/>
    <w:pPr>
      <w:spacing w:beforeAutospacing="1" w:afterAutospacing="1"/>
      <w:jc w:val="left"/>
    </w:pPr>
    <w:rPr>
      <w:kern w:val="0"/>
      <w:sz w:val="24"/>
    </w:rPr>
  </w:style>
  <w:style w:type="paragraph" w:styleId="8">
    <w:name w:val="Body Text First Indent 2"/>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table" w:styleId="10">
    <w:name w:val="Table Grid"/>
    <w:qFormat/>
    <w:uiPriority w:val="39"/>
    <w:rPr>
      <w:rFonts w:ascii="Arial Unicode MS" w:hAnsi="Arial Unicode MS" w:eastAsia="仿宋_GB2312"/>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12">
    <w:name w:val="AONormal"/>
    <w:qFormat/>
    <w:uiPriority w:val="0"/>
    <w:pPr>
      <w:spacing w:line="260" w:lineRule="atLeast"/>
    </w:pPr>
    <w:rPr>
      <w:rFonts w:ascii="Times New Roman" w:hAnsi="Times New Roman" w:eastAsia="宋体" w:cs="Times New Roman"/>
      <w:sz w:val="22"/>
      <w:szCs w:val="22"/>
      <w:lang w:val="en-US" w:eastAsia="en-US"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9013df75-c058-44e9-954e-77ca9b4a1b94</errorID>
      <errorWord>决策性的</errorWord>
      <group>L1_Word</group>
      <groupName>字词问题</groupName>
      <ability>L2_Typo</ability>
      <abilityName>字词错误</abilityName>
      <candidateList>
        <item>决策性</item>
      </candidateList>
      <explain/>
      <paraID>3DFE66AF</paraID>
      <start>69</start>
      <end>72</end>
      <status>modified</status>
      <modifiedWord>决策性</modifiedWord>
      <trackRevisions>false</trackRevisions>
    </reviewItem>
    <reviewItem>
      <errorID>ce1e79fe-3f6e-4830-aa96-14c31f58234e</errorID>
      <errorWord>年3</errorWord>
      <group>L1_Word</group>
      <groupName>字词问题</groupName>
      <ability>L2_Typo</ability>
      <abilityName>字词错误</abilityName>
      <candidateList>
        <item>年</item>
      </candidateList>
      <explain/>
      <paraID>758B8403</paraID>
      <start>32</start>
      <end>33</end>
      <status>modified</status>
      <modifiedWord>年</modifiedWord>
      <trackRevisions>false</trackRevisions>
    </reviewItem>
  </reviewItems>
  <config/>
</contractReview>
</file>

<file path=customXml/itemProps1.xml><?xml version="1.0" encoding="utf-8"?>
<ds:datastoreItem xmlns:ds="http://schemas.openxmlformats.org/officeDocument/2006/customXml" ds:itemID="{563AA446-6526-4AE0-9C2D-41E1A3DBE46B}">
  <ds:schemaRefs/>
</ds:datastoreItem>
</file>

<file path=docProps/app.xml><?xml version="1.0" encoding="utf-8"?>
<Properties xmlns="http://schemas.openxmlformats.org/officeDocument/2006/extended-properties" xmlns:vt="http://schemas.openxmlformats.org/officeDocument/2006/docPropsVTypes">
  <Template>Normal</Template>
  <Company>四川省国有资产经营投资管理有限责任公司</Company>
  <Pages>2</Pages>
  <Words>1630</Words>
  <Characters>1671</Characters>
  <Lines>47</Lines>
  <Paragraphs>46</Paragraphs>
  <TotalTime>9</TotalTime>
  <ScaleCrop>false</ScaleCrop>
  <LinksUpToDate>false</LinksUpToDate>
  <CharactersWithSpaces>1690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2023-03-29T18:31:00Z</dcterms:created>
  <dc:creator>高峰</dc:creator>
  <cp:lastModifiedBy>李昭妍</cp:lastModifiedBy>
  <cp:lastPrinted>2023-04-03T19:52:00Z</cp:lastPrinted>
  <dcterms:modified xsi:type="dcterms:W3CDTF">2026-07-22T05:33:01Z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eyJoZGlkIjoiMjg3YjI0YjlmMDM1YzA3ZTA3MjI4NWU0ZjU3NjI2NTEiLCJ1c2VySWQiOiI4MDA1ODM5MjUifQ==</vt:lpwstr>
  </property>
  <property fmtid="{D5CDD505-2E9C-101B-9397-08002B2CF9AE}" pid="4" name="ICV">
    <vt:lpwstr>C109862358764500ADBDF0660333BF82_13</vt:lpwstr>
  </property>
</Properties>
</file>