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45A40">
      <w:pPr>
        <w:keepNext w:val="0"/>
        <w:keepLines w:val="0"/>
        <w:widowControl/>
        <w:suppressLineNumbers w:val="0"/>
        <w:tabs>
          <w:tab w:val="left" w:pos="5967"/>
        </w:tabs>
        <w:snapToGrid w:val="0"/>
        <w:ind w:left="0" w:leftChars="0" w:right="0" w:rightChars="0" w:firstLine="0" w:firstLineChars="0"/>
        <w:jc w:val="both"/>
        <w:textAlignment w:val="center"/>
        <w:rPr>
          <w:rFonts w:hint="eastAsia" w:ascii="方正黑体_GBK" w:hAnsi="方正黑体_GBK" w:eastAsia="方正黑体_GBK" w:cs="方正黑体_GBK"/>
          <w:b w:val="0"/>
          <w:bCs w:val="0"/>
          <w:i w:val="0"/>
          <w:iCs w:val="0"/>
          <w:color w:val="000000"/>
          <w:kern w:val="0"/>
          <w:sz w:val="32"/>
          <w:szCs w:val="32"/>
          <w:u w:val="none"/>
          <w:lang w:val="en-US" w:eastAsia="zh-CN" w:bidi="ar"/>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附件1</w:t>
      </w:r>
    </w:p>
    <w:p w14:paraId="5922A159">
      <w:pPr>
        <w:keepNext w:val="0"/>
        <w:keepLines w:val="0"/>
        <w:widowControl/>
        <w:suppressLineNumbers w:val="0"/>
        <w:tabs>
          <w:tab w:val="left" w:pos="1138"/>
          <w:tab w:val="left" w:pos="1994"/>
          <w:tab w:val="left" w:pos="3250"/>
          <w:tab w:val="left" w:pos="6320"/>
          <w:tab w:val="left" w:pos="12107"/>
          <w:tab w:val="left" w:pos="14681"/>
        </w:tabs>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2"/>
          <w:u w:val="none"/>
          <w:lang w:val="en-US" w:eastAsia="zh-CN" w:bidi="ar"/>
        </w:rPr>
      </w:pPr>
      <w:bookmarkStart w:id="0" w:name="_GoBack"/>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曲靖国金资本运营集团有限公司中层正职管理岗位招聘信息表</w:t>
      </w:r>
      <w:bookmarkEnd w:id="0"/>
    </w:p>
    <w:tbl>
      <w:tblPr>
        <w:tblStyle w:val="3"/>
        <w:tblW w:w="154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8"/>
        <w:gridCol w:w="758"/>
        <w:gridCol w:w="780"/>
        <w:gridCol w:w="1728"/>
        <w:gridCol w:w="768"/>
        <w:gridCol w:w="792"/>
        <w:gridCol w:w="786"/>
        <w:gridCol w:w="894"/>
        <w:gridCol w:w="852"/>
        <w:gridCol w:w="4023"/>
        <w:gridCol w:w="3300"/>
      </w:tblGrid>
      <w:tr w14:paraId="1B34C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3" w:hRule="atLeast"/>
          <w:tblHeader/>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E56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部门</w:t>
            </w:r>
          </w:p>
        </w:tc>
        <w:tc>
          <w:tcPr>
            <w:tcW w:w="758" w:type="dxa"/>
            <w:tcBorders>
              <w:top w:val="single" w:color="000000" w:sz="4" w:space="0"/>
              <w:left w:val="single" w:color="000000" w:sz="4" w:space="0"/>
              <w:right w:val="single" w:color="000000" w:sz="4" w:space="0"/>
            </w:tcBorders>
            <w:shd w:val="clear" w:color="auto" w:fill="auto"/>
            <w:vAlign w:val="center"/>
          </w:tcPr>
          <w:p w14:paraId="736FCEE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岗位代码</w:t>
            </w:r>
          </w:p>
        </w:tc>
        <w:tc>
          <w:tcPr>
            <w:tcW w:w="780" w:type="dxa"/>
            <w:tcBorders>
              <w:top w:val="single" w:color="000000" w:sz="4" w:space="0"/>
              <w:left w:val="single" w:color="000000" w:sz="4" w:space="0"/>
              <w:right w:val="single" w:color="000000" w:sz="4" w:space="0"/>
            </w:tcBorders>
            <w:shd w:val="clear" w:color="auto" w:fill="auto"/>
            <w:vAlign w:val="center"/>
          </w:tcPr>
          <w:p w14:paraId="0313BBF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岗位名称</w:t>
            </w:r>
          </w:p>
        </w:tc>
        <w:tc>
          <w:tcPr>
            <w:tcW w:w="1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C2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岗位职责</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68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计划招聘人数</w:t>
            </w:r>
          </w:p>
        </w:tc>
        <w:tc>
          <w:tcPr>
            <w:tcW w:w="792" w:type="dxa"/>
            <w:tcBorders>
              <w:top w:val="single" w:color="000000" w:sz="4" w:space="0"/>
              <w:left w:val="single" w:color="000000" w:sz="4" w:space="0"/>
              <w:right w:val="single" w:color="000000" w:sz="4" w:space="0"/>
            </w:tcBorders>
            <w:shd w:val="clear" w:color="auto" w:fill="auto"/>
            <w:noWrap/>
            <w:vAlign w:val="center"/>
          </w:tcPr>
          <w:p w14:paraId="3D89E4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性别</w:t>
            </w:r>
          </w:p>
        </w:tc>
        <w:tc>
          <w:tcPr>
            <w:tcW w:w="786" w:type="dxa"/>
            <w:tcBorders>
              <w:top w:val="single" w:color="000000" w:sz="4" w:space="0"/>
              <w:left w:val="single" w:color="000000" w:sz="4" w:space="0"/>
              <w:right w:val="single" w:color="000000" w:sz="4" w:space="0"/>
            </w:tcBorders>
            <w:shd w:val="clear" w:color="auto" w:fill="auto"/>
            <w:noWrap/>
            <w:vAlign w:val="center"/>
          </w:tcPr>
          <w:p w14:paraId="787A59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年龄</w:t>
            </w:r>
          </w:p>
        </w:tc>
        <w:tc>
          <w:tcPr>
            <w:tcW w:w="894" w:type="dxa"/>
            <w:tcBorders>
              <w:top w:val="single" w:color="000000" w:sz="4" w:space="0"/>
              <w:left w:val="single" w:color="000000" w:sz="4" w:space="0"/>
              <w:right w:val="single" w:color="000000" w:sz="4" w:space="0"/>
            </w:tcBorders>
            <w:shd w:val="clear" w:color="auto" w:fill="auto"/>
            <w:vAlign w:val="center"/>
          </w:tcPr>
          <w:p w14:paraId="71B1F3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学历学位</w:t>
            </w:r>
          </w:p>
          <w:p w14:paraId="1001F89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要求</w:t>
            </w:r>
          </w:p>
        </w:tc>
        <w:tc>
          <w:tcPr>
            <w:tcW w:w="852" w:type="dxa"/>
            <w:tcBorders>
              <w:top w:val="single" w:color="000000" w:sz="4" w:space="0"/>
              <w:left w:val="single" w:color="000000" w:sz="4" w:space="0"/>
              <w:right w:val="single" w:color="000000" w:sz="4" w:space="0"/>
            </w:tcBorders>
            <w:shd w:val="clear" w:color="auto" w:fill="auto"/>
            <w:vAlign w:val="center"/>
          </w:tcPr>
          <w:p w14:paraId="0D015B0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专业要求</w:t>
            </w:r>
          </w:p>
        </w:tc>
        <w:tc>
          <w:tcPr>
            <w:tcW w:w="4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2E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岗位要求</w:t>
            </w:r>
          </w:p>
        </w:tc>
        <w:tc>
          <w:tcPr>
            <w:tcW w:w="3300" w:type="dxa"/>
            <w:tcBorders>
              <w:top w:val="single" w:color="000000" w:sz="4" w:space="0"/>
              <w:left w:val="nil"/>
              <w:bottom w:val="single" w:color="000000" w:sz="4" w:space="0"/>
              <w:right w:val="single" w:color="000000" w:sz="4" w:space="0"/>
            </w:tcBorders>
            <w:shd w:val="clear" w:color="auto" w:fill="auto"/>
            <w:noWrap/>
            <w:vAlign w:val="center"/>
          </w:tcPr>
          <w:p w14:paraId="1AA3CA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2"/>
                <w:u w:val="none"/>
              </w:rPr>
            </w:pPr>
            <w:r>
              <w:rPr>
                <w:rFonts w:hint="eastAsia" w:ascii="宋体" w:hAnsi="宋体" w:eastAsia="宋体" w:cs="宋体"/>
                <w:b/>
                <w:bCs/>
                <w:i w:val="0"/>
                <w:iCs w:val="0"/>
                <w:color w:val="000000"/>
                <w:kern w:val="0"/>
                <w:sz w:val="24"/>
                <w:szCs w:val="22"/>
                <w:u w:val="none"/>
                <w:lang w:val="en-US" w:eastAsia="zh-CN" w:bidi="ar"/>
              </w:rPr>
              <w:t>备注</w:t>
            </w:r>
          </w:p>
        </w:tc>
      </w:tr>
      <w:tr w14:paraId="68E20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4"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3C3F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sz w:val="18"/>
                <w:szCs w:val="18"/>
                <w:u w:val="none"/>
              </w:rPr>
            </w:pPr>
            <w:r>
              <w:rPr>
                <w:rFonts w:hint="default" w:ascii="Times New Roman" w:hAnsi="Times New Roman" w:eastAsia="方正仿宋_GBK" w:cs="Times New Roman"/>
                <w:i w:val="0"/>
                <w:iCs w:val="0"/>
                <w:color w:val="000000"/>
                <w:kern w:val="0"/>
                <w:sz w:val="18"/>
                <w:szCs w:val="18"/>
                <w:u w:val="none"/>
                <w:lang w:val="en-US" w:eastAsia="zh-CN" w:bidi="ar"/>
              </w:rPr>
              <w:t>曲靖信产私募基金管理有限公司</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B7A8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kern w:val="0"/>
                <w:sz w:val="18"/>
                <w:szCs w:val="18"/>
                <w:u w:val="none"/>
                <w:lang w:val="en-US" w:eastAsia="zh-CN" w:bidi="ar"/>
              </w:rPr>
            </w:pPr>
            <w:r>
              <w:rPr>
                <w:rFonts w:hint="eastAsia" w:ascii="Times New Roman" w:hAnsi="Times New Roman" w:eastAsia="方正仿宋_GBK" w:cs="Times New Roman"/>
                <w:i w:val="0"/>
                <w:iCs w:val="0"/>
                <w:color w:val="000000"/>
                <w:kern w:val="0"/>
                <w:sz w:val="18"/>
                <w:szCs w:val="18"/>
                <w:u w:val="none"/>
                <w:lang w:val="en-US" w:eastAsia="zh-CN" w:bidi="ar"/>
              </w:rPr>
              <w:t>202601</w:t>
            </w:r>
            <w:r>
              <w:rPr>
                <w:rFonts w:hint="default" w:ascii="Times New Roman" w:hAnsi="Times New Roman" w:eastAsia="方正仿宋_GBK" w:cs="Times New Roman"/>
                <w:i w:val="0"/>
                <w:iCs w:val="0"/>
                <w:color w:val="000000"/>
                <w:kern w:val="0"/>
                <w:sz w:val="18"/>
                <w:szCs w:val="18"/>
                <w:u w:val="none"/>
                <w:lang w:val="en-US" w:eastAsia="zh-CN" w:bidi="ar"/>
              </w:rPr>
              <w:t>0101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A9A6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kern w:val="0"/>
                <w:sz w:val="18"/>
                <w:szCs w:val="18"/>
                <w:u w:val="none"/>
                <w:lang w:val="en-US" w:eastAsia="zh-CN" w:bidi="ar"/>
              </w:rPr>
            </w:pPr>
            <w:r>
              <w:rPr>
                <w:rFonts w:hint="default" w:ascii="Times New Roman" w:hAnsi="Times New Roman" w:eastAsia="方正仿宋_GBK" w:cs="Times New Roman"/>
                <w:i w:val="0"/>
                <w:iCs w:val="0"/>
                <w:color w:val="000000"/>
                <w:kern w:val="0"/>
                <w:sz w:val="18"/>
                <w:szCs w:val="18"/>
                <w:u w:val="none"/>
                <w:lang w:val="en-US" w:eastAsia="zh-CN" w:bidi="ar"/>
              </w:rPr>
              <w:t>副总经理（兼投资总监）</w:t>
            </w:r>
          </w:p>
        </w:tc>
        <w:tc>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D00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sz w:val="18"/>
                <w:szCs w:val="18"/>
                <w:u w:val="none"/>
              </w:rPr>
            </w:pPr>
          </w:p>
          <w:p w14:paraId="55B03DB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sz w:val="18"/>
                <w:szCs w:val="18"/>
                <w:u w:val="none"/>
              </w:rPr>
            </w:pPr>
            <w:r>
              <w:rPr>
                <w:rFonts w:hint="default" w:ascii="Times New Roman" w:hAnsi="Times New Roman" w:eastAsia="方正仿宋_GBK" w:cs="Times New Roman"/>
                <w:i w:val="0"/>
                <w:iCs w:val="0"/>
                <w:color w:val="000000"/>
                <w:sz w:val="18"/>
                <w:szCs w:val="18"/>
                <w:u w:val="none"/>
              </w:rPr>
              <w:t>牵头制定并执行公司投资策略；主导行业研究，挖掘和筛选潜力项目；组织团队开展项目开发、尽职调查、商务谈判、投资实施及退出；开拓并维护企业及合作伙伴关系；组织开展基金运营工作。</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235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18"/>
                <w:szCs w:val="18"/>
                <w:u w:val="none"/>
              </w:rPr>
            </w:pPr>
            <w:r>
              <w:rPr>
                <w:rFonts w:hint="default" w:ascii="Times New Roman" w:hAnsi="Times New Roman" w:eastAsia="方正仿宋_GBK" w:cs="Times New Roman"/>
                <w:i w:val="0"/>
                <w:iCs w:val="0"/>
                <w:color w:val="000000"/>
                <w:kern w:val="0"/>
                <w:sz w:val="18"/>
                <w:szCs w:val="18"/>
                <w:u w:val="none"/>
                <w:lang w:val="en-US" w:eastAsia="zh-CN" w:bidi="ar"/>
              </w:rPr>
              <w:t>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58C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18"/>
                <w:szCs w:val="18"/>
                <w:u w:val="none"/>
              </w:rPr>
            </w:pPr>
            <w:r>
              <w:rPr>
                <w:rFonts w:hint="eastAsia" w:ascii="Times New Roman" w:hAnsi="Times New Roman" w:eastAsia="方正仿宋_GBK" w:cs="Times New Roman"/>
                <w:i w:val="0"/>
                <w:iCs w:val="0"/>
                <w:color w:val="000000"/>
                <w:kern w:val="0"/>
                <w:sz w:val="18"/>
                <w:szCs w:val="18"/>
                <w:u w:val="none"/>
                <w:lang w:val="en-US" w:eastAsia="zh-CN" w:bidi="ar"/>
              </w:rPr>
              <w:t>不限</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27F1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18"/>
                <w:szCs w:val="18"/>
                <w:u w:val="none"/>
                <w:lang w:val="en-US" w:eastAsia="zh-CN" w:bidi="ar"/>
              </w:rPr>
            </w:pPr>
            <w:r>
              <w:rPr>
                <w:rFonts w:hint="default" w:ascii="Times New Roman" w:hAnsi="Times New Roman" w:eastAsia="方正仿宋_GBK" w:cs="Times New Roman"/>
                <w:i w:val="0"/>
                <w:iCs w:val="0"/>
                <w:color w:val="000000"/>
                <w:kern w:val="0"/>
                <w:sz w:val="18"/>
                <w:szCs w:val="18"/>
                <w:u w:val="none"/>
                <w:lang w:val="en-US" w:eastAsia="zh-CN" w:bidi="ar"/>
              </w:rPr>
              <w:t>45周岁以下</w:t>
            </w:r>
          </w:p>
          <w:p w14:paraId="34A458B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18"/>
                <w:szCs w:val="18"/>
                <w:u w:val="none"/>
                <w:lang w:val="en-US" w:eastAsia="zh-CN" w:bidi="ar"/>
              </w:rPr>
            </w:pPr>
            <w:r>
              <w:rPr>
                <w:rFonts w:hint="default" w:ascii="Times New Roman" w:hAnsi="Times New Roman" w:eastAsia="方正仿宋_GBK" w:cs="Times New Roman"/>
                <w:i w:val="0"/>
                <w:iCs w:val="0"/>
                <w:color w:val="000000"/>
                <w:kern w:val="0"/>
                <w:sz w:val="18"/>
                <w:szCs w:val="18"/>
                <w:u w:val="none"/>
                <w:lang w:val="en-US" w:eastAsia="zh-CN" w:bidi="ar"/>
              </w:rPr>
              <w:t>（1981年7月27日以后出生）</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17B1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18"/>
                <w:szCs w:val="18"/>
                <w:u w:val="none"/>
              </w:rPr>
            </w:pPr>
            <w:r>
              <w:rPr>
                <w:rFonts w:hint="default" w:ascii="Times New Roman" w:hAnsi="Times New Roman" w:eastAsia="方正仿宋_GBK" w:cs="Times New Roman"/>
                <w:i w:val="0"/>
                <w:iCs w:val="0"/>
                <w:color w:val="000000"/>
                <w:sz w:val="18"/>
                <w:szCs w:val="18"/>
                <w:u w:val="none"/>
              </w:rPr>
              <w:t>具有大学本科及以上学历，并取得相应学位。</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E7E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18"/>
                <w:szCs w:val="18"/>
                <w:u w:val="none"/>
              </w:rPr>
            </w:pPr>
            <w:r>
              <w:rPr>
                <w:rFonts w:hint="default" w:ascii="Times New Roman" w:hAnsi="Times New Roman" w:eastAsia="方正仿宋_GBK" w:cs="Times New Roman"/>
                <w:i w:val="0"/>
                <w:iCs w:val="0"/>
                <w:color w:val="000000"/>
                <w:kern w:val="0"/>
                <w:sz w:val="18"/>
                <w:szCs w:val="18"/>
                <w:u w:val="none"/>
                <w:lang w:val="en-US" w:eastAsia="zh-CN" w:bidi="ar"/>
              </w:rPr>
              <w:t>不限</w:t>
            </w:r>
          </w:p>
        </w:tc>
        <w:tc>
          <w:tcPr>
            <w:tcW w:w="4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7FE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sz w:val="18"/>
                <w:szCs w:val="18"/>
                <w:u w:val="none"/>
              </w:rPr>
            </w:pPr>
            <w:r>
              <w:rPr>
                <w:rFonts w:hint="default" w:ascii="Times New Roman" w:hAnsi="Times New Roman" w:eastAsia="方正仿宋_GBK" w:cs="Times New Roman"/>
                <w:i w:val="0"/>
                <w:iCs w:val="0"/>
                <w:color w:val="000000"/>
                <w:kern w:val="0"/>
                <w:sz w:val="18"/>
                <w:szCs w:val="18"/>
                <w:u w:val="none"/>
                <w:lang w:val="en-US" w:eastAsia="zh-CN" w:bidi="ar"/>
              </w:rPr>
              <w:t>1.具有基金从业资格证。</w:t>
            </w:r>
            <w:r>
              <w:rPr>
                <w:rStyle w:val="6"/>
                <w:rFonts w:hint="default" w:ascii="Times New Roman" w:hAnsi="Times New Roman" w:eastAsia="方正仿宋_GBK" w:cs="Times New Roman"/>
                <w:sz w:val="18"/>
                <w:szCs w:val="18"/>
                <w:lang w:val="en-US" w:eastAsia="zh-CN" w:bidi="ar"/>
              </w:rPr>
              <w:br w:type="textWrapping"/>
            </w:r>
            <w:r>
              <w:rPr>
                <w:rStyle w:val="6"/>
                <w:rFonts w:hint="default" w:ascii="Times New Roman" w:hAnsi="Times New Roman" w:eastAsia="方正仿宋_GBK" w:cs="Times New Roman"/>
                <w:sz w:val="18"/>
                <w:szCs w:val="18"/>
                <w:lang w:val="en-US" w:eastAsia="zh-CN" w:bidi="ar"/>
              </w:rPr>
              <w:t>2.具有5年以上股权投资管理或者相关产业管理等工作经验（工作经验需提供原任职单位加盖公章的工作底稿），具备丰富的项目运作和团队管理经验。</w:t>
            </w:r>
            <w:r>
              <w:rPr>
                <w:rStyle w:val="6"/>
                <w:rFonts w:hint="default" w:ascii="Times New Roman" w:hAnsi="Times New Roman" w:eastAsia="方正仿宋_GBK" w:cs="Times New Roman"/>
                <w:sz w:val="18"/>
                <w:szCs w:val="18"/>
                <w:lang w:val="en-US" w:eastAsia="zh-CN" w:bidi="ar"/>
              </w:rPr>
              <w:br w:type="textWrapping"/>
            </w:r>
            <w:r>
              <w:rPr>
                <w:rStyle w:val="6"/>
                <w:rFonts w:hint="default" w:ascii="Times New Roman" w:hAnsi="Times New Roman" w:eastAsia="方正仿宋_GBK" w:cs="Times New Roman"/>
                <w:sz w:val="18"/>
                <w:szCs w:val="18"/>
                <w:lang w:val="en-US" w:eastAsia="zh-CN" w:bidi="ar"/>
              </w:rPr>
              <w:t>3.具备符合中国证监会及中国证券投资基金业协会监管要求的投资管理业绩，具体标准如下：最近10年内至少拥有2起主导投资于未上市企业股权的项目经验，投资金额合计不低于3000万元人民币；上述主导投资项目中，至少应有1起项目通过首次公开发行股票并上市（IPO）、股权并购或者股权转让等方式成功退出（退出收益原则上为正收益）；本条款所称“主导投资”是指报考人员在项目中全程主持尽职调查、投资决策等核心工作并在底稿支撑证明文件中标注有本人的名字。</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top"/>
          </w:tcPr>
          <w:p w14:paraId="7A62E540">
            <w:pPr>
              <w:keepNext w:val="0"/>
              <w:keepLines w:val="0"/>
              <w:widowControl/>
              <w:suppressLineNumbers w:val="0"/>
              <w:snapToGrid w:val="0"/>
              <w:ind w:left="0" w:leftChars="0" w:right="0" w:rightChars="0" w:firstLine="0" w:firstLineChars="0"/>
              <w:jc w:val="both"/>
              <w:textAlignment w:val="center"/>
              <w:rPr>
                <w:rFonts w:hint="default" w:ascii="Times New Roman" w:hAnsi="Times New Roman" w:eastAsia="方正仿宋_GBK" w:cs="Times New Roman"/>
                <w:i w:val="0"/>
                <w:iCs w:val="0"/>
                <w:color w:val="000000"/>
                <w:sz w:val="18"/>
                <w:szCs w:val="18"/>
                <w:u w:val="none"/>
              </w:rPr>
            </w:pPr>
            <w:r>
              <w:rPr>
                <w:rFonts w:hint="default" w:ascii="Times New Roman" w:hAnsi="Times New Roman" w:eastAsia="方正仿宋_GBK" w:cs="Times New Roman"/>
                <w:i w:val="0"/>
                <w:iCs w:val="0"/>
                <w:color w:val="000000"/>
                <w:kern w:val="0"/>
                <w:sz w:val="16"/>
                <w:szCs w:val="16"/>
                <w:u w:val="none"/>
                <w:lang w:val="en-US" w:eastAsia="zh-CN" w:bidi="ar"/>
              </w:rPr>
              <w:t>相关工作经验：是指下列情形之一：①在银行、证券公司、基金管理公司、期货公司、信托公司、保险公司及相关资产管理子公司等金融机构从事资产管理、自有资金股权投资、发行保荐等相关业务，并担任基金经理、投资经理、信托经理、保荐代表人等以上职务，或者担任前述金融机构高级管理人员或者具有相当职位管理经验；②在州市级以上政府及其授权机构控制的企业、上市公司从事股权投资管理相关工作并担任投资负责人，或者担任高级管理人员或者具有相当职位管理经验；③在私募股权基金管理人从事股权投资并担任基金经理以上职务，或者担任高级管理人员，其任职的私募基金管理人应当运作正常、合规稳健，任职期间无重大违法违规记录；④在受境外金融监管部门监管的资产管理机构从事股权投资等相关业务，其任职的资产管理机构应当具备良好的国际声誉和经营业绩；⑤运作良好、合规稳健并具有一定经营规模的企业担任股权投资管理部门负责人，或者担任高级管理人员或者具有相当职位管理经验，或者在具备一定技术门槛的大中型企业担任相关专业技术职务，或者是科研院校相关领域的专家教授、研究人员。</w:t>
            </w:r>
          </w:p>
        </w:tc>
      </w:tr>
      <w:tr w14:paraId="4EEAA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4"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9DF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kern w:val="2"/>
                <w:sz w:val="18"/>
                <w:szCs w:val="18"/>
                <w:highlight w:val="yellow"/>
                <w:u w:val="none"/>
                <w:lang w:val="en-US" w:eastAsia="zh-CN" w:bidi="ar-SA"/>
              </w:rPr>
            </w:pPr>
            <w:r>
              <w:rPr>
                <w:rFonts w:hint="eastAsia" w:ascii="Times New Roman" w:hAnsi="Times New Roman" w:eastAsia="方正仿宋_GBK" w:cs="Times New Roman"/>
                <w:i w:val="0"/>
                <w:iCs w:val="0"/>
                <w:color w:val="000000"/>
                <w:kern w:val="0"/>
                <w:sz w:val="18"/>
                <w:szCs w:val="18"/>
                <w:u w:val="none"/>
                <w:lang w:val="en-US" w:eastAsia="zh-CN" w:bidi="ar"/>
              </w:rPr>
              <w:t>曲靖国金</w:t>
            </w:r>
            <w:r>
              <w:rPr>
                <w:rFonts w:hint="default" w:ascii="Times New Roman" w:hAnsi="Times New Roman" w:eastAsia="方正仿宋_GBK" w:cs="Times New Roman"/>
                <w:i w:val="0"/>
                <w:iCs w:val="0"/>
                <w:color w:val="000000"/>
                <w:kern w:val="0"/>
                <w:sz w:val="18"/>
                <w:szCs w:val="18"/>
                <w:highlight w:val="none"/>
                <w:u w:val="none"/>
                <w:lang w:val="en-US" w:eastAsia="zh-CN" w:bidi="ar"/>
              </w:rPr>
              <w:t>集团风控法务部</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A1C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kern w:val="0"/>
                <w:sz w:val="18"/>
                <w:szCs w:val="18"/>
                <w:highlight w:val="none"/>
                <w:u w:val="none"/>
                <w:lang w:val="en-US" w:eastAsia="zh-CN" w:bidi="ar"/>
              </w:rPr>
            </w:pPr>
            <w:r>
              <w:rPr>
                <w:rFonts w:hint="eastAsia" w:ascii="Times New Roman" w:hAnsi="Times New Roman" w:eastAsia="方正仿宋_GBK" w:cs="Times New Roman"/>
                <w:i w:val="0"/>
                <w:iCs w:val="0"/>
                <w:color w:val="000000"/>
                <w:kern w:val="0"/>
                <w:sz w:val="18"/>
                <w:szCs w:val="18"/>
                <w:u w:val="none"/>
                <w:lang w:val="en-US" w:eastAsia="zh-CN" w:bidi="ar"/>
              </w:rPr>
              <w:t>202601</w:t>
            </w:r>
            <w:r>
              <w:rPr>
                <w:rFonts w:hint="default" w:ascii="Times New Roman" w:hAnsi="Times New Roman" w:eastAsia="方正仿宋_GBK" w:cs="Times New Roman"/>
                <w:i w:val="0"/>
                <w:iCs w:val="0"/>
                <w:color w:val="000000"/>
                <w:kern w:val="0"/>
                <w:sz w:val="18"/>
                <w:szCs w:val="18"/>
                <w:highlight w:val="none"/>
                <w:u w:val="none"/>
                <w:lang w:val="en-US" w:eastAsia="zh-CN" w:bidi="ar"/>
              </w:rPr>
              <w:t>0102</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2148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kern w:val="0"/>
                <w:sz w:val="18"/>
                <w:szCs w:val="18"/>
                <w:highlight w:val="none"/>
                <w:u w:val="none"/>
                <w:lang w:val="en-US" w:eastAsia="zh-CN" w:bidi="ar"/>
              </w:rPr>
            </w:pPr>
            <w:r>
              <w:rPr>
                <w:rFonts w:hint="default" w:ascii="Times New Roman" w:hAnsi="Times New Roman" w:eastAsia="方正仿宋_GBK" w:cs="Times New Roman"/>
                <w:i w:val="0"/>
                <w:iCs w:val="0"/>
                <w:color w:val="000000"/>
                <w:kern w:val="0"/>
                <w:sz w:val="18"/>
                <w:szCs w:val="18"/>
                <w:highlight w:val="none"/>
                <w:u w:val="none"/>
                <w:lang w:val="en-US" w:eastAsia="zh-CN" w:bidi="ar"/>
              </w:rPr>
              <w:t>风控法务部部长（兼曲靖信产私募基金管理有限公司风控总监）</w:t>
            </w:r>
          </w:p>
        </w:tc>
        <w:tc>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84579">
            <w:pPr>
              <w:keepNext w:val="0"/>
              <w:keepLines w:val="0"/>
              <w:widowControl/>
              <w:suppressLineNumbers w:val="0"/>
              <w:snapToGrid w:val="0"/>
              <w:ind w:left="0" w:leftChars="0" w:right="0" w:rightChars="0" w:firstLine="0" w:firstLineChars="0"/>
              <w:jc w:val="both"/>
              <w:textAlignment w:val="center"/>
              <w:rPr>
                <w:rFonts w:hint="default" w:ascii="Times New Roman" w:hAnsi="Times New Roman" w:eastAsia="方正仿宋_GBK" w:cs="Times New Roman"/>
                <w:i w:val="0"/>
                <w:iCs w:val="0"/>
                <w:color w:val="000000"/>
                <w:kern w:val="2"/>
                <w:sz w:val="18"/>
                <w:szCs w:val="18"/>
                <w:highlight w:val="yellow"/>
                <w:u w:val="none"/>
                <w:lang w:val="en-US" w:eastAsia="zh-CN" w:bidi="ar-SA"/>
              </w:rPr>
            </w:pPr>
            <w:r>
              <w:rPr>
                <w:rFonts w:hint="eastAsia" w:ascii="Times New Roman" w:hAnsi="Times New Roman" w:eastAsia="方正仿宋_GBK" w:cs="Times New Roman"/>
                <w:i w:val="0"/>
                <w:iCs w:val="0"/>
                <w:color w:val="000000"/>
                <w:kern w:val="0"/>
                <w:sz w:val="18"/>
                <w:szCs w:val="18"/>
                <w:u w:val="none"/>
                <w:lang w:val="en-US" w:eastAsia="zh-CN" w:bidi="ar"/>
              </w:rPr>
              <w:t>负责</w:t>
            </w:r>
            <w:r>
              <w:rPr>
                <w:rFonts w:hint="default" w:ascii="Times New Roman" w:hAnsi="Times New Roman" w:eastAsia="方正仿宋_GBK" w:cs="Times New Roman"/>
                <w:i w:val="0"/>
                <w:iCs w:val="0"/>
                <w:color w:val="000000"/>
                <w:kern w:val="0"/>
                <w:sz w:val="18"/>
                <w:szCs w:val="18"/>
                <w:u w:val="none"/>
                <w:lang w:val="en-US" w:eastAsia="zh-CN" w:bidi="ar"/>
              </w:rPr>
              <w:t>风控法务团队管理；制定风险管理策略，建立健全风控管理制度，完善全面风险管理体系；对公司制度、投资决策及业务流程实施合规审查和风险监督；动态监测</w:t>
            </w:r>
            <w:r>
              <w:rPr>
                <w:rFonts w:hint="eastAsia" w:ascii="Times New Roman" w:hAnsi="Times New Roman" w:eastAsia="方正仿宋_GBK" w:cs="Times New Roman"/>
                <w:i w:val="0"/>
                <w:iCs w:val="0"/>
                <w:color w:val="000000"/>
                <w:kern w:val="0"/>
                <w:sz w:val="18"/>
                <w:szCs w:val="18"/>
                <w:u w:val="none"/>
                <w:lang w:val="en-US" w:eastAsia="zh-CN" w:bidi="ar"/>
              </w:rPr>
              <w:t>、</w:t>
            </w:r>
            <w:r>
              <w:rPr>
                <w:rFonts w:hint="default" w:ascii="Times New Roman" w:hAnsi="Times New Roman" w:eastAsia="方正仿宋_GBK" w:cs="Times New Roman"/>
                <w:i w:val="0"/>
                <w:iCs w:val="0"/>
                <w:color w:val="000000"/>
                <w:kern w:val="0"/>
                <w:sz w:val="18"/>
                <w:szCs w:val="18"/>
                <w:u w:val="none"/>
                <w:lang w:val="en-US" w:eastAsia="zh-CN" w:bidi="ar"/>
              </w:rPr>
              <w:t>识别、评估、预警并处置风险事件；统筹业务风险审查、合同管理与法律纠纷处置，为项目投资提供风控决策支撑</w:t>
            </w:r>
            <w:r>
              <w:rPr>
                <w:rFonts w:hint="eastAsia" w:ascii="Times New Roman" w:hAnsi="Times New Roman" w:eastAsia="方正仿宋_GBK" w:cs="Times New Roman"/>
                <w:i w:val="0"/>
                <w:iCs w:val="0"/>
                <w:color w:val="000000"/>
                <w:kern w:val="0"/>
                <w:sz w:val="18"/>
                <w:szCs w:val="18"/>
                <w:u w:val="none"/>
                <w:lang w:val="en-US" w:eastAsia="zh-CN" w:bidi="ar"/>
              </w:rPr>
              <w:t>。</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C2F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kern w:val="2"/>
                <w:sz w:val="18"/>
                <w:szCs w:val="18"/>
                <w:u w:val="none"/>
                <w:lang w:val="en-US" w:eastAsia="zh-CN" w:bidi="ar-SA"/>
              </w:rPr>
            </w:pPr>
            <w:r>
              <w:rPr>
                <w:rFonts w:hint="default" w:ascii="Times New Roman" w:hAnsi="Times New Roman" w:eastAsia="方正仿宋_GBK" w:cs="Times New Roman"/>
                <w:i w:val="0"/>
                <w:iCs w:val="0"/>
                <w:color w:val="000000"/>
                <w:kern w:val="0"/>
                <w:sz w:val="18"/>
                <w:szCs w:val="18"/>
                <w:highlight w:val="none"/>
                <w:u w:val="none"/>
                <w:lang w:val="en-US" w:eastAsia="zh-CN" w:bidi="ar"/>
              </w:rPr>
              <w:t>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81204">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K" w:cs="Times New Roman"/>
                <w:i w:val="0"/>
                <w:iCs w:val="0"/>
                <w:color w:val="000000"/>
                <w:kern w:val="0"/>
                <w:sz w:val="18"/>
                <w:szCs w:val="18"/>
                <w:u w:val="none"/>
                <w:lang w:val="en-US" w:eastAsia="zh-CN" w:bidi="ar"/>
              </w:rPr>
            </w:pPr>
            <w:r>
              <w:rPr>
                <w:rFonts w:hint="eastAsia" w:ascii="Times New Roman" w:hAnsi="Times New Roman" w:eastAsia="方正仿宋_GBK" w:cs="Times New Roman"/>
                <w:i w:val="0"/>
                <w:iCs w:val="0"/>
                <w:color w:val="000000"/>
                <w:kern w:val="0"/>
                <w:sz w:val="18"/>
                <w:szCs w:val="18"/>
                <w:u w:val="none"/>
                <w:lang w:val="en-US" w:eastAsia="zh-CN" w:bidi="ar"/>
              </w:rPr>
              <w:t>不限</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2D9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18"/>
                <w:szCs w:val="18"/>
                <w:u w:val="none"/>
                <w:lang w:val="en-US" w:eastAsia="zh-CN" w:bidi="ar"/>
              </w:rPr>
            </w:pPr>
            <w:r>
              <w:rPr>
                <w:rFonts w:hint="default" w:ascii="Times New Roman" w:hAnsi="Times New Roman" w:eastAsia="方正仿宋_GBK" w:cs="Times New Roman"/>
                <w:i w:val="0"/>
                <w:iCs w:val="0"/>
                <w:color w:val="000000"/>
                <w:kern w:val="0"/>
                <w:sz w:val="18"/>
                <w:szCs w:val="18"/>
                <w:u w:val="none"/>
                <w:lang w:val="en-US" w:eastAsia="zh-CN" w:bidi="ar"/>
              </w:rPr>
              <w:t>45</w:t>
            </w:r>
            <w:r>
              <w:rPr>
                <w:rStyle w:val="7"/>
                <w:rFonts w:hint="default" w:ascii="Times New Roman" w:hAnsi="Times New Roman" w:eastAsia="方正仿宋_GBK" w:cs="Times New Roman"/>
                <w:sz w:val="18"/>
                <w:szCs w:val="18"/>
                <w:lang w:val="en-US" w:eastAsia="zh-CN" w:bidi="ar"/>
              </w:rPr>
              <w:t>周岁以下</w:t>
            </w:r>
            <w:r>
              <w:rPr>
                <w:rStyle w:val="7"/>
                <w:rFonts w:hint="default" w:ascii="Times New Roman" w:hAnsi="Times New Roman" w:eastAsia="方正仿宋_GBK" w:cs="Times New Roman"/>
                <w:sz w:val="18"/>
                <w:szCs w:val="18"/>
                <w:lang w:val="en-US" w:eastAsia="zh-CN" w:bidi="ar"/>
              </w:rPr>
              <w:br w:type="textWrapping"/>
            </w:r>
            <w:r>
              <w:rPr>
                <w:rStyle w:val="7"/>
                <w:rFonts w:hint="default" w:ascii="Times New Roman" w:hAnsi="Times New Roman" w:eastAsia="方正仿宋_GBK" w:cs="Times New Roman"/>
                <w:sz w:val="18"/>
                <w:szCs w:val="18"/>
                <w:lang w:val="en-US" w:eastAsia="zh-CN" w:bidi="ar"/>
              </w:rPr>
              <w:t>（1981年7月27日以后出生）</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6283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kern w:val="2"/>
                <w:sz w:val="18"/>
                <w:szCs w:val="18"/>
                <w:u w:val="none"/>
                <w:lang w:val="en-US" w:eastAsia="zh-CN" w:bidi="ar-SA"/>
              </w:rPr>
            </w:pPr>
            <w:r>
              <w:rPr>
                <w:rFonts w:hint="default" w:ascii="Times New Roman" w:hAnsi="Times New Roman" w:eastAsia="方正仿宋_GBK" w:cs="Times New Roman"/>
                <w:i w:val="0"/>
                <w:iCs w:val="0"/>
                <w:color w:val="000000"/>
                <w:kern w:val="2"/>
                <w:sz w:val="18"/>
                <w:szCs w:val="18"/>
                <w:u w:val="none"/>
                <w:lang w:val="en-US" w:eastAsia="zh-CN" w:bidi="ar-SA"/>
              </w:rPr>
              <w:t>具有大学本科及以上学历，并取得相应学位。</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E4C0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kern w:val="2"/>
                <w:sz w:val="18"/>
                <w:szCs w:val="18"/>
                <w:u w:val="none"/>
                <w:lang w:val="en-US" w:eastAsia="zh-CN" w:bidi="ar-SA"/>
              </w:rPr>
            </w:pPr>
            <w:r>
              <w:rPr>
                <w:rFonts w:hint="default" w:ascii="Times New Roman" w:hAnsi="Times New Roman" w:eastAsia="方正仿宋_GBK" w:cs="Times New Roman"/>
                <w:i w:val="0"/>
                <w:iCs w:val="0"/>
                <w:color w:val="000000"/>
                <w:kern w:val="0"/>
                <w:sz w:val="18"/>
                <w:szCs w:val="18"/>
                <w:u w:val="none"/>
                <w:lang w:val="en-US" w:eastAsia="zh-CN" w:bidi="ar"/>
              </w:rPr>
              <w:t>不限</w:t>
            </w:r>
          </w:p>
        </w:tc>
        <w:tc>
          <w:tcPr>
            <w:tcW w:w="4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0F3B">
            <w:pPr>
              <w:keepNext w:val="0"/>
              <w:keepLines w:val="0"/>
              <w:widowControl/>
              <w:numPr>
                <w:ilvl w:val="0"/>
                <w:numId w:val="0"/>
              </w:numPr>
              <w:suppressLineNumbers w:val="0"/>
              <w:snapToGrid w:val="0"/>
              <w:ind w:leftChars="0" w:right="0" w:rightChars="0"/>
              <w:jc w:val="left"/>
              <w:textAlignment w:val="center"/>
              <w:rPr>
                <w:rStyle w:val="6"/>
                <w:rFonts w:hint="default" w:ascii="Times New Roman" w:hAnsi="Times New Roman" w:eastAsia="方正仿宋_GBK" w:cs="Times New Roman"/>
                <w:color w:val="auto"/>
                <w:sz w:val="16"/>
                <w:szCs w:val="16"/>
                <w:highlight w:val="none"/>
                <w:lang w:val="en-US" w:eastAsia="zh-CN" w:bidi="ar"/>
              </w:rPr>
            </w:pPr>
            <w:r>
              <w:rPr>
                <w:rFonts w:hint="default" w:ascii="Times New Roman" w:hAnsi="Times New Roman" w:eastAsia="方正仿宋_GBK" w:cs="Times New Roman"/>
                <w:i w:val="0"/>
                <w:iCs w:val="0"/>
                <w:color w:val="auto"/>
                <w:kern w:val="0"/>
                <w:sz w:val="16"/>
                <w:szCs w:val="16"/>
                <w:highlight w:val="none"/>
                <w:u w:val="none"/>
                <w:lang w:val="en-US" w:eastAsia="zh-CN" w:bidi="ar"/>
              </w:rPr>
              <w:t>1.具有基金从业资格证；</w:t>
            </w:r>
          </w:p>
          <w:p w14:paraId="5283B5C3">
            <w:pPr>
              <w:keepNext w:val="0"/>
              <w:keepLines w:val="0"/>
              <w:widowControl/>
              <w:numPr>
                <w:ilvl w:val="0"/>
                <w:numId w:val="0"/>
              </w:numPr>
              <w:suppressLineNumbers w:val="0"/>
              <w:snapToGrid w:val="0"/>
              <w:ind w:leftChars="0" w:right="0" w:rightChars="0"/>
              <w:jc w:val="left"/>
              <w:textAlignment w:val="center"/>
              <w:rPr>
                <w:rStyle w:val="6"/>
                <w:rFonts w:hint="default" w:ascii="Times New Roman" w:hAnsi="Times New Roman" w:eastAsia="方正仿宋_GBK" w:cs="Times New Roman"/>
                <w:color w:val="auto"/>
                <w:sz w:val="16"/>
                <w:szCs w:val="16"/>
                <w:highlight w:val="none"/>
                <w:lang w:val="en-US" w:eastAsia="zh-CN" w:bidi="ar"/>
              </w:rPr>
            </w:pPr>
            <w:r>
              <w:rPr>
                <w:rStyle w:val="6"/>
                <w:rFonts w:hint="default" w:ascii="Times New Roman" w:hAnsi="Times New Roman" w:eastAsia="方正仿宋_GBK" w:cs="Times New Roman"/>
                <w:color w:val="auto"/>
                <w:sz w:val="16"/>
                <w:szCs w:val="16"/>
                <w:highlight w:val="none"/>
                <w:lang w:val="en-US" w:eastAsia="zh-CN" w:bidi="ar"/>
              </w:rPr>
              <w:t>2.具备5年以上风控法务工作经验，且在州市级以上国有企业有中层正职或2年以上中层副职任职经历；</w:t>
            </w:r>
            <w:r>
              <w:rPr>
                <w:rStyle w:val="6"/>
                <w:rFonts w:hint="default" w:ascii="Times New Roman" w:hAnsi="Times New Roman" w:eastAsia="方正仿宋_GBK" w:cs="Times New Roman"/>
                <w:color w:val="auto"/>
                <w:sz w:val="16"/>
                <w:szCs w:val="16"/>
                <w:highlight w:val="none"/>
                <w:lang w:val="en-US" w:eastAsia="zh-CN" w:bidi="ar"/>
              </w:rPr>
              <w:br w:type="textWrapping"/>
            </w:r>
            <w:r>
              <w:rPr>
                <w:rStyle w:val="6"/>
                <w:rFonts w:hint="default" w:ascii="Times New Roman" w:hAnsi="Times New Roman" w:eastAsia="方正仿宋_GBK" w:cs="Times New Roman"/>
                <w:color w:val="auto"/>
                <w:sz w:val="16"/>
                <w:szCs w:val="16"/>
                <w:highlight w:val="none"/>
                <w:lang w:val="en-US" w:eastAsia="zh-CN" w:bidi="ar"/>
              </w:rPr>
              <w:t>3.具有完善的体系建设能力，能够牵头构建集团统一的全面风险管理体系、法律合规管理体系和内部控制体系，制定并完善集团层面风控、法务、合规管理制度及流程，指导、监督下属子公司建立健全对应管理体系并有效运行；</w:t>
            </w:r>
            <w:r>
              <w:rPr>
                <w:rStyle w:val="6"/>
                <w:rFonts w:hint="default" w:ascii="Times New Roman" w:hAnsi="Times New Roman" w:eastAsia="方正仿宋_GBK" w:cs="Times New Roman"/>
                <w:color w:val="auto"/>
                <w:sz w:val="16"/>
                <w:szCs w:val="16"/>
                <w:highlight w:val="none"/>
                <w:lang w:val="en-US" w:eastAsia="zh-CN" w:bidi="ar"/>
              </w:rPr>
              <w:br w:type="textWrapping"/>
            </w:r>
            <w:r>
              <w:rPr>
                <w:rStyle w:val="6"/>
                <w:rFonts w:hint="default" w:ascii="Times New Roman" w:hAnsi="Times New Roman" w:eastAsia="方正仿宋_GBK" w:cs="Times New Roman"/>
                <w:color w:val="auto"/>
                <w:sz w:val="16"/>
                <w:szCs w:val="16"/>
                <w:highlight w:val="none"/>
                <w:lang w:val="en-US" w:eastAsia="zh-CN" w:bidi="ar"/>
              </w:rPr>
              <w:t>4.全维度风险管控能力，能够统筹全集团各类风险（包括但不限于法律风险、合规风险、信用风险、市场风险、操作风险、国资监管风险等）的识别、评估、预警和处置，牵头处理集团重大法律纠纷、诉讼仲裁案件和突发性风险事件；</w:t>
            </w:r>
            <w:r>
              <w:rPr>
                <w:rStyle w:val="6"/>
                <w:rFonts w:hint="default" w:ascii="Times New Roman" w:hAnsi="Times New Roman" w:eastAsia="方正仿宋_GBK" w:cs="Times New Roman"/>
                <w:color w:val="auto"/>
                <w:sz w:val="16"/>
                <w:szCs w:val="16"/>
                <w:highlight w:val="none"/>
                <w:lang w:val="en-US" w:eastAsia="zh-CN" w:bidi="ar"/>
              </w:rPr>
              <w:br w:type="textWrapping"/>
            </w:r>
            <w:r>
              <w:rPr>
                <w:rStyle w:val="6"/>
                <w:rFonts w:hint="default" w:ascii="Times New Roman" w:hAnsi="Times New Roman" w:eastAsia="方正仿宋_GBK" w:cs="Times New Roman"/>
                <w:color w:val="auto"/>
                <w:sz w:val="16"/>
                <w:szCs w:val="16"/>
                <w:highlight w:val="none"/>
                <w:lang w:val="en-US" w:eastAsia="zh-CN" w:bidi="ar"/>
              </w:rPr>
              <w:t>5.重大决策支撑能力，能够为集团重大经营决策、战略规划、制度制定、重大合同审核、资产整合重组等提供专业的法律合规和风险防控意见，防范集团层面系统性、重大性风险；</w:t>
            </w:r>
            <w:r>
              <w:rPr>
                <w:rStyle w:val="6"/>
                <w:rFonts w:hint="default" w:ascii="Times New Roman" w:hAnsi="Times New Roman" w:eastAsia="方正仿宋_GBK" w:cs="Times New Roman"/>
                <w:color w:val="auto"/>
                <w:sz w:val="16"/>
                <w:szCs w:val="16"/>
                <w:highlight w:val="none"/>
                <w:lang w:val="en-US" w:eastAsia="zh-CN" w:bidi="ar"/>
              </w:rPr>
              <w:br w:type="textWrapping"/>
            </w:r>
            <w:r>
              <w:rPr>
                <w:rStyle w:val="6"/>
                <w:rFonts w:hint="default" w:ascii="Times New Roman" w:hAnsi="Times New Roman" w:eastAsia="方正仿宋_GBK" w:cs="Times New Roman"/>
                <w:color w:val="auto"/>
                <w:sz w:val="16"/>
                <w:szCs w:val="16"/>
                <w:highlight w:val="none"/>
                <w:lang w:val="en-US" w:eastAsia="zh-CN" w:bidi="ar"/>
              </w:rPr>
              <w:t>6.投资风控统筹能力，能够统筹集团及下属公司各类投资项目的全流程风险管控，对股权投资、产业投资、资产运营等重大投资活动出具独立风险评估意见，能够指导下属私募基金管理人建立健全风控体系并监督其合规运营；</w:t>
            </w:r>
            <w:r>
              <w:rPr>
                <w:rStyle w:val="6"/>
                <w:rFonts w:hint="default" w:ascii="Times New Roman" w:hAnsi="Times New Roman" w:eastAsia="方正仿宋_GBK" w:cs="Times New Roman"/>
                <w:color w:val="auto"/>
                <w:sz w:val="16"/>
                <w:szCs w:val="16"/>
                <w:highlight w:val="none"/>
                <w:lang w:val="en-US" w:eastAsia="zh-CN" w:bidi="ar"/>
              </w:rPr>
              <w:br w:type="textWrapping"/>
            </w:r>
            <w:r>
              <w:rPr>
                <w:rStyle w:val="6"/>
                <w:rFonts w:hint="default" w:ascii="Times New Roman" w:hAnsi="Times New Roman" w:eastAsia="方正仿宋_GBK" w:cs="Times New Roman"/>
                <w:color w:val="auto"/>
                <w:sz w:val="16"/>
                <w:szCs w:val="16"/>
                <w:highlight w:val="none"/>
                <w:lang w:val="en-US" w:eastAsia="zh-CN" w:bidi="ar"/>
              </w:rPr>
              <w:t>7.团队管理能力，能够全面负责风控法务部日常管理工作，合理分配部门工作任务，制定部门工作计划和考核标准，培养专业风控法务人才，提升团队整体业务能力和履职水平；</w:t>
            </w:r>
          </w:p>
          <w:p w14:paraId="46D24FFD">
            <w:pPr>
              <w:keepNext w:val="0"/>
              <w:keepLines w:val="0"/>
              <w:widowControl/>
              <w:numPr>
                <w:ilvl w:val="0"/>
                <w:numId w:val="0"/>
              </w:numPr>
              <w:suppressLineNumbers w:val="0"/>
              <w:snapToGrid w:val="0"/>
              <w:ind w:left="0" w:leftChars="0" w:right="0" w:rightChars="0" w:firstLine="0" w:firstLineChars="0"/>
              <w:jc w:val="left"/>
              <w:textAlignment w:val="center"/>
              <w:rPr>
                <w:rFonts w:hint="default" w:ascii="Times New Roman" w:hAnsi="Times New Roman" w:eastAsia="方正仿宋_GBK" w:cs="Times New Roman"/>
                <w:color w:val="000000"/>
                <w:kern w:val="2"/>
                <w:sz w:val="18"/>
                <w:szCs w:val="18"/>
                <w:highlight w:val="yellow"/>
                <w:u w:val="none"/>
                <w:lang w:val="en-US" w:eastAsia="zh-CN" w:bidi="ar"/>
              </w:rPr>
            </w:pPr>
            <w:r>
              <w:rPr>
                <w:rStyle w:val="6"/>
                <w:rFonts w:hint="default" w:ascii="Times New Roman" w:hAnsi="Times New Roman" w:eastAsia="方正仿宋_GBK" w:cs="Times New Roman"/>
                <w:color w:val="auto"/>
                <w:sz w:val="16"/>
                <w:szCs w:val="16"/>
                <w:highlight w:val="none"/>
                <w:lang w:val="en-US" w:eastAsia="zh-CN" w:bidi="ar"/>
              </w:rPr>
              <w:t>8</w:t>
            </w:r>
            <w:r>
              <w:rPr>
                <w:rFonts w:hint="default" w:ascii="Times New Roman" w:hAnsi="Times New Roman" w:eastAsia="方正仿宋_GBK" w:cs="Times New Roman"/>
                <w:i w:val="0"/>
                <w:iCs w:val="0"/>
                <w:color w:val="auto"/>
                <w:kern w:val="0"/>
                <w:sz w:val="16"/>
                <w:szCs w:val="16"/>
                <w:highlight w:val="none"/>
                <w:u w:val="none"/>
                <w:lang w:val="en-US" w:eastAsia="zh-CN" w:bidi="ar"/>
              </w:rPr>
              <w:t>.</w:t>
            </w:r>
            <w:r>
              <w:rPr>
                <w:rStyle w:val="6"/>
                <w:rFonts w:hint="default" w:ascii="Times New Roman" w:hAnsi="Times New Roman" w:eastAsia="方正仿宋_GBK" w:cs="Times New Roman"/>
                <w:color w:val="auto"/>
                <w:sz w:val="16"/>
                <w:szCs w:val="16"/>
                <w:highlight w:val="none"/>
                <w:lang w:val="en-US" w:eastAsia="zh-CN" w:bidi="ar"/>
              </w:rPr>
              <w:t>熟悉私募基金全流程业务运作，拥有投资项目尽职调查、风险评估、合规审查、投后风险管理等实操经验，且满足中国证监会、中国证券投资基金业协会对</w:t>
            </w:r>
            <w:r>
              <w:rPr>
                <w:rStyle w:val="8"/>
                <w:rFonts w:hint="default" w:ascii="Times New Roman" w:hAnsi="Times New Roman" w:eastAsia="方正仿宋_GBK" w:cs="Times New Roman"/>
                <w:color w:val="auto"/>
                <w:sz w:val="16"/>
                <w:szCs w:val="16"/>
                <w:highlight w:val="none"/>
                <w:lang w:val="en-US" w:eastAsia="zh-CN" w:bidi="ar"/>
              </w:rPr>
              <w:t>合规风控负责人</w:t>
            </w:r>
            <w:r>
              <w:rPr>
                <w:rStyle w:val="6"/>
                <w:rFonts w:hint="default" w:ascii="Times New Roman" w:hAnsi="Times New Roman" w:eastAsia="方正仿宋_GBK" w:cs="Times New Roman"/>
                <w:color w:val="auto"/>
                <w:sz w:val="16"/>
                <w:szCs w:val="16"/>
                <w:highlight w:val="none"/>
                <w:lang w:val="en-US" w:eastAsia="zh-CN" w:bidi="ar"/>
              </w:rPr>
              <w:t>的各项监管任职要求者</w:t>
            </w:r>
            <w:r>
              <w:rPr>
                <w:rFonts w:hint="default" w:ascii="Times New Roman" w:hAnsi="Times New Roman" w:eastAsia="方正仿宋_GBK" w:cs="Times New Roman"/>
                <w:i w:val="0"/>
                <w:iCs w:val="0"/>
                <w:color w:val="auto"/>
                <w:kern w:val="0"/>
                <w:sz w:val="16"/>
                <w:szCs w:val="16"/>
                <w:highlight w:val="none"/>
                <w:u w:val="none"/>
                <w:lang w:val="en-US" w:eastAsia="zh-CN" w:bidi="ar"/>
              </w:rPr>
              <w:t>优先。</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595D">
            <w:pPr>
              <w:snapToGrid w:val="0"/>
              <w:ind w:left="0" w:leftChars="0" w:right="0" w:rightChars="0" w:firstLine="0" w:firstLineChars="0"/>
              <w:jc w:val="left"/>
              <w:rPr>
                <w:rFonts w:hint="default" w:ascii="Times New Roman" w:hAnsi="Times New Roman" w:eastAsia="方正仿宋_GBK" w:cs="Times New Roman"/>
                <w:i w:val="0"/>
                <w:iCs w:val="0"/>
                <w:color w:val="000000"/>
                <w:kern w:val="2"/>
                <w:sz w:val="18"/>
                <w:szCs w:val="18"/>
                <w:highlight w:val="yellow"/>
                <w:u w:val="none"/>
                <w:lang w:val="en-US" w:eastAsia="zh-CN" w:bidi="ar-SA"/>
              </w:rPr>
            </w:pPr>
          </w:p>
        </w:tc>
      </w:tr>
    </w:tbl>
    <w:p w14:paraId="2372427C">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jc w:val="both"/>
        <w:textAlignment w:val="auto"/>
        <w:rPr>
          <w:rFonts w:hint="eastAsia" w:ascii="Times New Roman" w:hAnsi="Times New Roman" w:eastAsia="方正仿宋_GBK" w:cs="Times New Roman"/>
          <w:b w:val="0"/>
          <w:bCs w:val="0"/>
          <w:color w:val="auto"/>
          <w:sz w:val="32"/>
          <w:szCs w:val="32"/>
          <w:lang w:val="en-US" w:eastAsia="zh-CN"/>
        </w:rPr>
      </w:pPr>
    </w:p>
    <w:sectPr>
      <w:pgSz w:w="16838" w:h="11906" w:orient="landscape"/>
      <w:pgMar w:top="1800" w:right="1440" w:bottom="157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00000001" w:usb1="080E0000" w:usb2="00000000" w:usb3="00000000" w:csb0="00040000" w:csb1="00000000"/>
    <w:embedRegular r:id="rId1" w:fontKey="{3302C14A-6B2A-41C8-AA3B-4FE77E2B67DC}"/>
  </w:font>
  <w:font w:name="方正黑体_GBK">
    <w:panose1 w:val="02010600010101010101"/>
    <w:charset w:val="86"/>
    <w:family w:val="auto"/>
    <w:pitch w:val="default"/>
    <w:sig w:usb0="00000001" w:usb1="080E0000" w:usb2="00000000" w:usb3="00000000" w:csb0="00040000" w:csb1="00000000"/>
    <w:embedRegular r:id="rId2" w:fontKey="{4838556B-3C1D-4E07-A3C5-F60176BAF4A9}"/>
  </w:font>
  <w:font w:name="方正小标宋_GBK">
    <w:panose1 w:val="02000000000000000000"/>
    <w:charset w:val="86"/>
    <w:family w:val="auto"/>
    <w:pitch w:val="default"/>
    <w:sig w:usb0="00000001" w:usb1="080E0000" w:usb2="00000000" w:usb3="00000000" w:csb0="00040000" w:csb1="00000000"/>
    <w:embedRegular r:id="rId3" w:fontKey="{CB7F47B2-B3E3-4B97-BFBC-3B6881017C0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B33F0D"/>
    <w:rsid w:val="45B33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正文缩进1"/>
    <w:autoRedefine/>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character" w:customStyle="1" w:styleId="6">
    <w:name w:val="font61"/>
    <w:basedOn w:val="4"/>
    <w:qFormat/>
    <w:uiPriority w:val="0"/>
    <w:rPr>
      <w:rFonts w:hint="eastAsia" w:ascii="方正仿宋_GBK" w:hAnsi="方正仿宋_GBK" w:eastAsia="方正仿宋_GBK" w:cs="方正仿宋_GBK"/>
      <w:color w:val="000000"/>
      <w:sz w:val="20"/>
      <w:szCs w:val="20"/>
      <w:u w:val="none"/>
    </w:rPr>
  </w:style>
  <w:style w:type="character" w:customStyle="1" w:styleId="7">
    <w:name w:val="font71"/>
    <w:basedOn w:val="4"/>
    <w:qFormat/>
    <w:uiPriority w:val="0"/>
    <w:rPr>
      <w:rFonts w:hint="eastAsia" w:ascii="方正仿宋_GBK" w:hAnsi="方正仿宋_GBK" w:eastAsia="方正仿宋_GBK" w:cs="方正仿宋_GBK"/>
      <w:color w:val="000000"/>
      <w:sz w:val="22"/>
      <w:szCs w:val="22"/>
      <w:u w:val="none"/>
    </w:rPr>
  </w:style>
  <w:style w:type="character" w:customStyle="1" w:styleId="8">
    <w:name w:val="font81"/>
    <w:basedOn w:val="4"/>
    <w:qFormat/>
    <w:uiPriority w:val="0"/>
    <w:rPr>
      <w:rFonts w:hint="eastAsia" w:ascii="方正仿宋_GBK" w:hAnsi="方正仿宋_GBK" w:eastAsia="方正仿宋_GBK" w:cs="方正仿宋_GBK"/>
      <w:color w:val="FF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2026-07-27T03:21:00Z</dcterms:created>
  <dc:creator>吕林艳</dc:creator>
  <cp:lastModifiedBy>吕林艳</cp:lastModifiedBy>
  <dcterms:modified xsi:type="dcterms:W3CDTF">2026-07-27T03:22:12Z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B5697C6307614F489107979A468ACBAC_11</vt:lpwstr>
  </property>
  <property fmtid="{D5CDD505-2E9C-101B-9397-08002B2CF9AE}" pid="4" name="KSOTemplateDocerSaveRecord">
    <vt:lpwstr>eyJoZGlkIjoiOWQ5MjQ4MjgyMWMxNGI4ZmRkYjlkZDdkZDA3YTRiNzIiLCJ1c2VySWQiOiIxNTc2NTc2ODgxIn0=</vt:lpwstr>
  </property>
</Properties>
</file>