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42B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四川省教育融媒体中心（四川教育电视台）</w:t>
      </w:r>
    </w:p>
    <w:p w14:paraId="4A4D6F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2025年</w:t>
      </w:r>
      <w:r>
        <w:rPr>
          <w:rFonts w:hint="eastAsia" w:ascii="方正小标宋_GBK" w:hAnsi="方正小标宋_GBK" w:eastAsia="方正小标宋_GBK" w:cs="方正小标宋_GBK"/>
          <w:sz w:val="44"/>
          <w:szCs w:val="44"/>
        </w:rPr>
        <w:t>公开</w:t>
      </w:r>
      <w:r>
        <w:rPr>
          <w:rFonts w:hint="eastAsia" w:ascii="方正小标宋_GBK" w:hAnsi="方正小标宋_GBK" w:eastAsia="方正小标宋_GBK" w:cs="方正小标宋_GBK"/>
          <w:sz w:val="44"/>
          <w:szCs w:val="44"/>
          <w:lang w:val="en-US" w:eastAsia="zh-CN"/>
        </w:rPr>
        <w:t>招聘编外</w:t>
      </w:r>
      <w:r>
        <w:rPr>
          <w:rFonts w:hint="eastAsia" w:ascii="方正小标宋_GBK" w:hAnsi="方正小标宋_GBK" w:eastAsia="方正小标宋_GBK" w:cs="方正小标宋_GBK"/>
          <w:sz w:val="44"/>
          <w:szCs w:val="44"/>
        </w:rPr>
        <w:t>工作人员公告</w:t>
      </w:r>
    </w:p>
    <w:p w14:paraId="352DB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p w14:paraId="59FD6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因工作需要，根据《中共四川省委教育工委 四川省教育厅直属事业单位编外人员管理暂行办法》，四川省教育融媒体中心（四川教育电视台）拟面向社会公开招聘</w:t>
      </w:r>
      <w:r>
        <w:rPr>
          <w:rFonts w:hint="eastAsia" w:ascii="仿宋_GB2312" w:hAnsi="仿宋_GB2312" w:eastAsia="仿宋_GB2312" w:cs="仿宋_GB2312"/>
          <w:sz w:val="32"/>
          <w:szCs w:val="32"/>
          <w:lang w:val="en-US" w:eastAsia="zh-CN"/>
        </w:rPr>
        <w:t>编外</w:t>
      </w:r>
      <w:r>
        <w:rPr>
          <w:rFonts w:hint="eastAsia" w:ascii="仿宋_GB2312" w:hAnsi="仿宋_GB2312" w:eastAsia="仿宋_GB2312" w:cs="仿宋_GB2312"/>
          <w:sz w:val="32"/>
          <w:szCs w:val="32"/>
        </w:rPr>
        <w:t>工作人员，现将公开招聘有关事项公告如下[本公告在省教育厅官网（http://edu.sc.gov.cn/，下同）和单位官网（https://rmt.sc.edu.cn/，下同）上发布]。</w:t>
      </w:r>
    </w:p>
    <w:p w14:paraId="21F761C9">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黑体" w:hAnsi="黑体" w:eastAsia="黑体" w:cs="黑体"/>
          <w:sz w:val="32"/>
          <w:szCs w:val="32"/>
        </w:rPr>
      </w:pPr>
      <w:r>
        <w:rPr>
          <w:rFonts w:hint="eastAsia" w:ascii="黑体" w:hAnsi="黑体" w:eastAsia="黑体" w:cs="黑体"/>
          <w:sz w:val="32"/>
          <w:szCs w:val="32"/>
        </w:rPr>
        <w:t>一、单位基本情况</w:t>
      </w:r>
    </w:p>
    <w:p w14:paraId="7EF50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（一）单位性质：公益二类事业单位。</w:t>
      </w:r>
    </w:p>
    <w:p w14:paraId="75243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（二）单位地址：成都市双流区黄荆路9号。</w:t>
      </w:r>
    </w:p>
    <w:p w14:paraId="186B4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职能：贯彻执行《中华人民共和国教育法》《出版管理条例》等相关法律法规和政策标准，在四川省教育厅党组领导下，做好新形势下四川教育宣传工作；承担全省教育系统新闻舆论、教育舆情监测与分析事务性工作；负责编辑、出版、发行《教育导报》《少年百科知识报》《四川教育》《今日中学生》《当代职校生》等报纸、杂志；负责运行维护四川教育电视台、“四川教育发布”等媒体平台；负责省级教育融媒体宣传平台开发与建设；组织开展教育宣传、培训等相关教育服务活动；完成四川省教育厅交办的其他任务。</w:t>
      </w:r>
    </w:p>
    <w:p w14:paraId="3E1F8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二、招聘对象、范围及基本条件</w:t>
      </w:r>
    </w:p>
    <w:p w14:paraId="17B8A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（一）招聘的对象和范围</w:t>
      </w:r>
    </w:p>
    <w:p w14:paraId="1A58F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面向全国招聘取得普通高等教育研究生学历和硕士及以上学位，并完全符合《四川省教育融媒体中心（四川教育电视台）</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公开招聘编外工作人员岗位和条件要求一览表》（含表注，以下简称《岗位和条件要求一览表》）相关岗位条件要求和本公告其他要求的人员。</w:t>
      </w:r>
    </w:p>
    <w:p w14:paraId="3D4FF4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（二）基本条件</w:t>
      </w:r>
    </w:p>
    <w:p w14:paraId="08B03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应聘人员</w:t>
      </w:r>
      <w:r>
        <w:rPr>
          <w:rFonts w:hint="eastAsia" w:ascii="仿宋_GB2312" w:hAnsi="仿宋_GB2312" w:eastAsia="仿宋_GB2312" w:cs="仿宋_GB2312"/>
          <w:sz w:val="32"/>
          <w:szCs w:val="32"/>
        </w:rPr>
        <w:t>应同时具备的条件：</w:t>
      </w:r>
    </w:p>
    <w:p w14:paraId="31A9B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（1）具有中华人民共和国国籍，拥护中华人民共和国宪法，拥护中国共产党，热爱祖国，遵纪守法，品行端正，爱岗敬业</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有良好的职业道德。</w:t>
      </w:r>
    </w:p>
    <w:p w14:paraId="55A0E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（2）具有履行岗位职责所需的知识、经验和能力。</w:t>
      </w:r>
    </w:p>
    <w:p w14:paraId="78B87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（3）具有正常履行职责的身体条件和心理素质。</w:t>
      </w:r>
    </w:p>
    <w:p w14:paraId="037B3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本公告具体招聘岗位要求的条件和资格（详见《岗位和条件要求一览表》）。其中，应聘人员本人有效毕业证所载学历和所获专业名称，应与拟报考岗位的“学历”和“专业条件要求”两栏分别相符；应聘人员本人有效学位证上的学位，应与拟报考岗位的“学位”资格要求相符。</w:t>
      </w:r>
    </w:p>
    <w:p w14:paraId="47E06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rPr>
        <w:t>相关事项（年龄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工作经历</w:t>
      </w:r>
      <w:r>
        <w:rPr>
          <w:rFonts w:hint="eastAsia" w:ascii="仿宋_GB2312" w:hAnsi="仿宋_GB2312" w:eastAsia="仿宋_GB2312" w:cs="仿宋_GB2312"/>
          <w:color w:val="auto"/>
          <w:sz w:val="32"/>
          <w:szCs w:val="32"/>
        </w:rPr>
        <w:t>等）时间节点按公告要求执行，公告未作明确的均为2025年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公告第一日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FF0000"/>
          <w:sz w:val="32"/>
          <w:szCs w:val="32"/>
          <w:lang w:eastAsia="zh-CN"/>
        </w:rPr>
        <w:t>。</w:t>
      </w:r>
    </w:p>
    <w:p w14:paraId="2A6DE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2.有下列情况之一者，不得报考：</w:t>
      </w:r>
    </w:p>
    <w:p w14:paraId="6F425B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（1）曾受过各类刑事处罚的。</w:t>
      </w:r>
    </w:p>
    <w:p w14:paraId="3D3EE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（2）曾被开除公职的。</w:t>
      </w:r>
    </w:p>
    <w:p w14:paraId="31699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（3）被开除中国共产党党籍的。</w:t>
      </w:r>
    </w:p>
    <w:p w14:paraId="6F7D9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（4）有违法、违纪行为正在接受审查的。</w:t>
      </w:r>
    </w:p>
    <w:p w14:paraId="1D0E2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（5）按照《事业单位公开招聘人员暂行规定》和《四川省事业单位公开招聘工作人员实施办法》的相关规定应当回避的。</w:t>
      </w:r>
    </w:p>
    <w:p w14:paraId="527E8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（6）按照《关于加快推进失信被执行人信用监督、警示和惩戒机制建设的意见》规定，由人民法院通过司法程序认定的失信被执行人；其他政策法规明确不得招聘为事业单位工作人员的失信人员。</w:t>
      </w:r>
    </w:p>
    <w:p w14:paraId="23265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（7）现役军人、在读的非应届毕业生、法律法规规定不得聘用为事业单位工作人员的其他情形人员。</w:t>
      </w:r>
    </w:p>
    <w:p w14:paraId="01F04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三、招聘岗位、数量及条件要求</w:t>
      </w:r>
    </w:p>
    <w:p w14:paraId="35E06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详见《岗位和条件要求一览表》。</w:t>
      </w:r>
    </w:p>
    <w:p w14:paraId="0981A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四、招聘程序</w:t>
      </w:r>
    </w:p>
    <w:p w14:paraId="3E7BB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（一）报名及资格初审</w:t>
      </w:r>
    </w:p>
    <w:p w14:paraId="6D69E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w:t>
      </w:r>
    </w:p>
    <w:p w14:paraId="1E36D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者应认真阅读招聘公告，详细了解招聘对象、范围、条件以及有关政策规定和有关注意事项等，根据自身情况选择完全符合报考条件的一个岗位报名。在报名前对公告内容有不清楚的，可拨打“咨询电话”进行咨询。报考者最终是否符合所报岗位条件要求由本单位最终确定。</w:t>
      </w:r>
    </w:p>
    <w:p w14:paraId="060B6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资格审查工作将贯穿招聘全过程，如任何环节发现报考者不符合报考条件、弄虚作假、违反回避制度等，报考或聘用资格一律无效，所造成的一切后果由报考者本人承担。</w:t>
      </w:r>
    </w:p>
    <w:p w14:paraId="0F8C9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报考者报名时需按报考要求提供以下资料：</w:t>
      </w:r>
    </w:p>
    <w:p w14:paraId="7A50A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（1）报名表（含本人近期免冠证件照片1张）。</w:t>
      </w:r>
    </w:p>
    <w:p w14:paraId="0A240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（2）本人有效居民身份证。</w:t>
      </w:r>
    </w:p>
    <w:p w14:paraId="0185B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（3）本人有效毕业证、学位证。其中，境外留学人员须提供教育部留学服务中心认证学历、学位。</w:t>
      </w:r>
    </w:p>
    <w:p w14:paraId="51890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（4）本人专业技术职务任职资格证书。</w:t>
      </w:r>
    </w:p>
    <w:p w14:paraId="46839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（5）个人获奖证书。</w:t>
      </w:r>
    </w:p>
    <w:p w14:paraId="13E91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（6）本人工作以来取得的工作实绩、科研成果目录及相关佐证资料（含公开发表论文及著作，承担的科研项目、课题立结项材料及取得的科研成果和奖励等）。</w:t>
      </w:r>
    </w:p>
    <w:p w14:paraId="384AA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（7）有工作经历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要求的，须提供工作经历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所在单位出具的工作经历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证明材料（加盖单位公章），材料须注明工作经历起止年月、工作岗位和工作内容。</w:t>
      </w:r>
    </w:p>
    <w:p w14:paraId="3EF7B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（8）有政治面貌要求的，须提供组织关系所在党组织出具的政治面貌证明，并加盖所在党组织公章。</w:t>
      </w:r>
    </w:p>
    <w:p w14:paraId="1AC9B1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（9）其他与报考资格相关的材料。</w:t>
      </w:r>
    </w:p>
    <w:p w14:paraId="05B38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相关报名资料扫描成电子资料（报名表同时提供word文档）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打包为压缩文件</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日17:00</w:t>
      </w:r>
      <w:r>
        <w:rPr>
          <w:rFonts w:hint="eastAsia" w:ascii="仿宋_GB2312" w:hAnsi="仿宋_GB2312" w:eastAsia="仿宋_GB2312" w:cs="仿宋_GB2312"/>
          <w:sz w:val="32"/>
          <w:szCs w:val="32"/>
        </w:rPr>
        <w:t>前发送至scjyrmtzx@163.com邮箱，以邮件发送时间为准，后续邮件不再有效。邮件标题须统一格式：“报考岗位+姓名”，电子资料须清晰可辨。每人限报一个岗位。报名资料不齐全、未在规定时间内报名均作资格不合格处理。</w:t>
      </w:r>
    </w:p>
    <w:p w14:paraId="43155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2.资格初审</w:t>
      </w:r>
    </w:p>
    <w:p w14:paraId="6F59E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根据招聘条件和要求，对报考者基本信息、报考资格以及所提供的材料等进行初审。初审通过后，</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邮箱发送笔试通知书，不再另行通知，请报考者注意查阅。</w:t>
      </w:r>
    </w:p>
    <w:p w14:paraId="6BE62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（二）笔试及面试</w:t>
      </w:r>
    </w:p>
    <w:p w14:paraId="5D07D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考试包括笔试和面试环节，笔试、面试满分皆为100分。考试总成绩=笔试总成绩×50%+面试成绩×50%。</w:t>
      </w:r>
    </w:p>
    <w:p w14:paraId="3C343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1.笔试</w:t>
      </w:r>
    </w:p>
    <w:p w14:paraId="5BDA3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（1）笔试范围。笔试主要</w:t>
      </w:r>
      <w:r>
        <w:rPr>
          <w:rFonts w:hint="eastAsia" w:ascii="仿宋_GB2312" w:hAnsi="仿宋_GB2312" w:eastAsia="仿宋_GB2312" w:cs="仿宋_GB2312"/>
          <w:sz w:val="32"/>
          <w:szCs w:val="32"/>
          <w:lang w:eastAsia="zh-CN"/>
        </w:rPr>
        <w:t>考查</w:t>
      </w:r>
      <w:r>
        <w:rPr>
          <w:rFonts w:hint="eastAsia" w:ascii="仿宋_GB2312" w:hAnsi="仿宋_GB2312" w:eastAsia="仿宋_GB2312" w:cs="仿宋_GB2312"/>
          <w:sz w:val="32"/>
          <w:szCs w:val="32"/>
        </w:rPr>
        <w:t>报考岗位的专业知识或岗位职业基本要求，不指定参考教材。</w:t>
      </w:r>
    </w:p>
    <w:p w14:paraId="192D0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（2）笔试开考比例。笔试开考比例为资格初审通过人数与招聘</w:t>
      </w:r>
      <w:r>
        <w:rPr>
          <w:rFonts w:hint="eastAsia" w:ascii="仿宋_GB2312" w:hAnsi="仿宋_GB2312" w:eastAsia="仿宋_GB2312" w:cs="仿宋_GB2312"/>
          <w:sz w:val="32"/>
          <w:szCs w:val="32"/>
          <w:lang w:eastAsia="zh-CN"/>
        </w:rPr>
        <w:t>岗位</w:t>
      </w:r>
      <w:r>
        <w:rPr>
          <w:rFonts w:hint="eastAsia" w:ascii="仿宋_GB2312" w:hAnsi="仿宋_GB2312" w:eastAsia="仿宋_GB2312" w:cs="仿宋_GB2312"/>
          <w:sz w:val="32"/>
          <w:szCs w:val="32"/>
        </w:rPr>
        <w:t>招聘人数之比不低于3:1。</w:t>
      </w:r>
    </w:p>
    <w:p w14:paraId="15015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（3）笔试时间地点。笔试具体时间地点详见笔试通知书。笔试成绩为0分或缺考的人员按自动放弃考试资格处理。</w:t>
      </w:r>
    </w:p>
    <w:p w14:paraId="764CE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（4）笔试成绩公布。笔试结束后3个工作日内在单位官网查询笔试成绩及排名。对笔试成绩有疑问的报考者，可在公布成绩的2个工作日内通过邮箱或电话申请查分。</w:t>
      </w:r>
    </w:p>
    <w:p w14:paraId="5C89A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2.面试</w:t>
      </w:r>
    </w:p>
    <w:p w14:paraId="41837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（1）面试。面试主要</w:t>
      </w:r>
      <w:r>
        <w:rPr>
          <w:rFonts w:hint="eastAsia" w:ascii="仿宋_GB2312" w:hAnsi="仿宋_GB2312" w:eastAsia="仿宋_GB2312" w:cs="仿宋_GB2312"/>
          <w:sz w:val="32"/>
          <w:szCs w:val="32"/>
          <w:lang w:eastAsia="zh-CN"/>
        </w:rPr>
        <w:t>考查</w:t>
      </w:r>
      <w:r>
        <w:rPr>
          <w:rFonts w:hint="eastAsia" w:ascii="仿宋_GB2312" w:hAnsi="仿宋_GB2312" w:eastAsia="仿宋_GB2312" w:cs="仿宋_GB2312"/>
          <w:sz w:val="32"/>
          <w:szCs w:val="32"/>
        </w:rPr>
        <w:t>意愿素质（动机愿望、职业责任感、敬业精神、竞争意识、兴趣爱好等）、知识素质（综合知识、专业知识等）、智能素质（应变能力、语言表达能力、综合分析能力、逻辑思维能力、业务能力、创新能力、组织管理能力、人际协调能力等）和人格素质（举止仪表、性格气质等）等方面。</w:t>
      </w:r>
    </w:p>
    <w:p w14:paraId="68139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（2）面试资格审查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根据笔试分数从高到低排序，按照1:3比例确定面试人员（不足1:3的，按实际人数进入面试），与最后一名面试人员笔试成绩相同的人员，一并确定为面试人员。笔试成绩公布后5个工作日内，在我单位官网公布</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面试资格审查人员名单，并通过邮箱发送面试通知书，不再另行通知，请报考者注意查阅。凡不符合报考资格条件的，资格审查不予通过，责任由报考者自负。自动放弃其面试资格</w:t>
      </w:r>
      <w:r>
        <w:rPr>
          <w:rFonts w:hint="eastAsia" w:ascii="仿宋_GB2312" w:hAnsi="仿宋_GB2312" w:eastAsia="仿宋_GB2312" w:cs="仿宋_GB2312"/>
          <w:sz w:val="32"/>
          <w:szCs w:val="32"/>
          <w:lang w:val="en-US" w:eastAsia="zh-CN"/>
        </w:rPr>
        <w:t>或者资格审查不通过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由此出现的面试空额，按笔试成绩从高到低等额递补。</w:t>
      </w:r>
    </w:p>
    <w:p w14:paraId="301A8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面试时间地点。面试时间及地点详见《面试通知书》。面试当日，面试人员凭本人有效身份证件按面试通知书规定的时间、指定的地点准时到面试考场候考。未按规定时间和要求到考场候考的、面试缺考的视为自动放弃面试资格。由此出现的面试名额空缺不再递补。如因缺考出现空缺而造成实际参加面试人数与招聘人数之比低于规定的面试入围比例时，面试正常进行。如招聘岗位实际面试人员未形成竞争（即参加面试人数少于或等于该岗位拟招聘人数），该岗位面试人员面试成绩低于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分的，取消应聘资格。报考者面试缺考或放弃面试的视为自动放弃应聘资格。</w:t>
      </w:r>
    </w:p>
    <w:p w14:paraId="6B229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）面试成绩公布。报考者的面试成绩</w:t>
      </w:r>
      <w:r>
        <w:rPr>
          <w:rFonts w:hint="eastAsia" w:ascii="仿宋_GB2312" w:hAnsi="仿宋_GB2312" w:eastAsia="仿宋_GB2312" w:cs="仿宋_GB2312"/>
          <w:sz w:val="32"/>
          <w:szCs w:val="32"/>
          <w:lang w:val="en-US" w:eastAsia="zh-CN"/>
        </w:rPr>
        <w:t>在面试结束后随考试总成绩公布。</w:t>
      </w:r>
    </w:p>
    <w:p w14:paraId="5F0F1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3.考试总成绩公布</w:t>
      </w:r>
    </w:p>
    <w:p w14:paraId="44B654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面试结束后5个工作日内在单位官网查询面试人员的总成绩及排名，公布体检人员名单。</w:t>
      </w:r>
    </w:p>
    <w:p w14:paraId="7322B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（三）体检</w:t>
      </w:r>
    </w:p>
    <w:p w14:paraId="20439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1.体检人员确定。根据招聘名额，按照报考者考试总成绩，从高分到低分依次等额确定体检人员。如考试总成绩相同，依次按</w:t>
      </w:r>
      <w:r>
        <w:rPr>
          <w:rFonts w:hint="eastAsia" w:ascii="仿宋_GB2312" w:hAnsi="仿宋_GB2312" w:eastAsia="仿宋_GB2312" w:cs="仿宋_GB2312"/>
          <w:sz w:val="32"/>
          <w:szCs w:val="32"/>
          <w:lang w:val="en-US" w:eastAsia="zh-CN"/>
        </w:rPr>
        <w:t>最高学历、</w:t>
      </w:r>
      <w:r>
        <w:rPr>
          <w:rFonts w:hint="eastAsia" w:ascii="仿宋_GB2312" w:hAnsi="仿宋_GB2312" w:eastAsia="仿宋_GB2312" w:cs="仿宋_GB2312"/>
          <w:sz w:val="32"/>
          <w:szCs w:val="32"/>
        </w:rPr>
        <w:t>面试成绩、笔试成绩从高到低确定体检人员。若某个岗位产生空缺，经单位研究，可以从符合空缺岗位报考条件且未进入体检环节且同意岗位调剂的人员</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，按考试总成绩从高到低，确定该空缺岗位体检人员。</w:t>
      </w:r>
    </w:p>
    <w:p w14:paraId="002B5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体检标准。体检的项目和标准参照人力资源社会保障部、国家卫生计生委、国家公务员局《关于修订〈公务员录用体检通用标准（试行）〉及〈公务员录用体检操作手册（试行）〉有关内容的通知》（人社部发〔2016〕140号）和《关于对怀孕考生参加体检有关问题的复函》（国公考录函〔2009〕7号）执行。其中，乙肝检测项目按国家人社部、教育部和卫生部《关于进一步规范入学和就业体检项目维护乙肝表面抗原携带者入学和就业权利的通知》的要求执行。</w:t>
      </w:r>
    </w:p>
    <w:p w14:paraId="33FA5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3.体检时间和地点。体检时间、集合地点</w:t>
      </w:r>
      <w:r>
        <w:rPr>
          <w:rFonts w:hint="eastAsia" w:ascii="仿宋_GB2312" w:hAnsi="仿宋_GB2312" w:eastAsia="仿宋_GB2312" w:cs="仿宋_GB2312"/>
          <w:sz w:val="32"/>
          <w:szCs w:val="32"/>
          <w:lang w:val="en-US" w:eastAsia="zh-CN"/>
        </w:rPr>
        <w:t>由单位另行电话通知。</w:t>
      </w:r>
      <w:r>
        <w:rPr>
          <w:rFonts w:hint="eastAsia" w:ascii="仿宋_GB2312" w:hAnsi="仿宋_GB2312" w:eastAsia="仿宋_GB2312" w:cs="仿宋_GB2312"/>
          <w:sz w:val="32"/>
          <w:szCs w:val="32"/>
        </w:rPr>
        <w:t>未按规定时间到指定地点以及未在招聘单位规定的期限内完成规定项目体检的报考者，视为自动弃权。某岗位因体检人员弃权或体检不合格而出现的空额，按照体检人员的确定规则依次等额递补体检人员。</w:t>
      </w:r>
    </w:p>
    <w:p w14:paraId="4FDCB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复检及递补。除按规定应当场或当天复检并确认体检结果的项目外，本单位或体检人员对体检结论有异议的，可在接到体检结论通知之日起7日内提出复检申请。复检只进行1次，由本单位指定到不低于原体检医院等级的其他综合性医院进行。体检结论以复检结论为准。</w:t>
      </w:r>
    </w:p>
    <w:p w14:paraId="66FB1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岗位因体检人员弃权或体检不合格而出现的空额，按照体检人员的确定规则依次等额递补体检人员。如该岗位所有参加面试的人员体检均不合格或无人可递补，不再递补。</w:t>
      </w:r>
    </w:p>
    <w:p w14:paraId="07A17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（四）考察</w:t>
      </w:r>
    </w:p>
    <w:p w14:paraId="5423C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本单位对体检合格人员的思想政治素质、遵纪守法情况、道德品质修养、心理调适能力等方面进行综合考察，并对其报考相关材料的真实有效性和报考资格进行核实。对考</w:t>
      </w:r>
      <w:r>
        <w:rPr>
          <w:rFonts w:hint="eastAsia" w:ascii="仿宋_GB2312" w:hAnsi="仿宋_GB2312" w:eastAsia="仿宋_GB2312" w:cs="仿宋_GB2312"/>
          <w:sz w:val="32"/>
          <w:szCs w:val="32"/>
          <w:lang w:val="en-US" w:eastAsia="zh-CN"/>
        </w:rPr>
        <w:t>察</w:t>
      </w:r>
      <w:r>
        <w:rPr>
          <w:rFonts w:hint="eastAsia" w:ascii="仿宋_GB2312" w:hAnsi="仿宋_GB2312" w:eastAsia="仿宋_GB2312" w:cs="仿宋_GB2312"/>
          <w:sz w:val="32"/>
          <w:szCs w:val="32"/>
        </w:rPr>
        <w:t>中取消报考资格以及通过考核的报考者在公示前自动放弃出现的空额，按照体检人员的确定规则依次等额递补，如该岗位所有参加面试的人员综合</w:t>
      </w:r>
      <w:r>
        <w:rPr>
          <w:rFonts w:hint="eastAsia" w:ascii="仿宋_GB2312" w:hAnsi="仿宋_GB2312" w:eastAsia="仿宋_GB2312" w:cs="仿宋_GB2312"/>
          <w:sz w:val="32"/>
          <w:szCs w:val="32"/>
          <w:lang w:val="en-US" w:eastAsia="zh-CN"/>
        </w:rPr>
        <w:t>考察</w:t>
      </w:r>
      <w:r>
        <w:rPr>
          <w:rFonts w:hint="eastAsia" w:ascii="仿宋_GB2312" w:hAnsi="仿宋_GB2312" w:eastAsia="仿宋_GB2312" w:cs="仿宋_GB2312"/>
          <w:sz w:val="32"/>
          <w:szCs w:val="32"/>
        </w:rPr>
        <w:t>均不合格或无人可递补，不再递补。</w:t>
      </w:r>
    </w:p>
    <w:p w14:paraId="0F154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（五）公示</w:t>
      </w:r>
    </w:p>
    <w:p w14:paraId="7DBF0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考试、体检、考核合格者确定为拟招聘人员，在</w:t>
      </w:r>
      <w:r>
        <w:rPr>
          <w:rFonts w:hint="eastAsia" w:ascii="仿宋_GB2312" w:hAnsi="仿宋_GB2312" w:eastAsia="仿宋_GB2312" w:cs="仿宋_GB2312"/>
          <w:sz w:val="32"/>
          <w:szCs w:val="32"/>
          <w:lang w:val="en-US" w:eastAsia="zh-CN"/>
        </w:rPr>
        <w:t>单位官网</w:t>
      </w:r>
      <w:r>
        <w:rPr>
          <w:rFonts w:hint="eastAsia" w:ascii="仿宋_GB2312" w:hAnsi="仿宋_GB2312" w:eastAsia="仿宋_GB2312" w:cs="仿宋_GB2312"/>
          <w:sz w:val="32"/>
          <w:szCs w:val="32"/>
        </w:rPr>
        <w:t>公示7日。公示内容包括拟招聘人员的姓名、笔试成绩、面试成绩、考试总成绩、排名，并公布监督举报电话接受社会监督和举报。举报者应以真实姓名实事求是地反映问题，并提供必要的调查线索。凡以匿名或其他方式反映的问题不予受理。</w:t>
      </w:r>
    </w:p>
    <w:p w14:paraId="45106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示期间反映有严重问题并查有实据、不符合报考条件的，取消被公示人拟招聘人员资格，不再予以审核确认；对反映有严重问题，但一时难以查实或难以否定的，可先进行审核确认，但一经核实不符合报考条件的，取消其拟聘用或聘用人员资格。公示期间和公示后因各种原因出现名额空缺不再递补。</w:t>
      </w:r>
    </w:p>
    <w:p w14:paraId="7F1EA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（六）审核确认和办理聘用手续</w:t>
      </w:r>
    </w:p>
    <w:p w14:paraId="34299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经公示无异议或异议信息经核实不影响聘用的应聘人员，应按通知的时间和地点将以下材料提交招聘单位。</w:t>
      </w:r>
    </w:p>
    <w:p w14:paraId="63F55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1.在职人员应提供原单位出具的同意其到新单位应聘的书面材料（通过审核确认后，在职人员再按招聘单位要求提供正式同意解除聘用劳动合同或者生效的劳动（人事）争议仲裁裁决书等有效书面证明材料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388E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2.2026届毕业生应在2026年7月31日前提供毕业证书、学位证书。</w:t>
      </w:r>
    </w:p>
    <w:p w14:paraId="0AB43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3.按规定应提供的其他材料。</w:t>
      </w:r>
    </w:p>
    <w:p w14:paraId="65E3C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单位对报考者所提供材料的真实性进行审查，并对拟聘人员报考资格条件进行最终审核确认。审查审核合格，通知被聘用人员在规定的时间内到单位报到，签订劳动合同。</w:t>
      </w:r>
    </w:p>
    <w:p w14:paraId="41D52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逾期或不能按要求提供上述材料的以及通过审核确认后，未按规定时间报到的，视为自动放弃，取消其拟聘人员资格。</w:t>
      </w:r>
    </w:p>
    <w:p w14:paraId="68FBB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五、薪酬福利</w:t>
      </w:r>
    </w:p>
    <w:p w14:paraId="6DAE7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薪酬福利按单位</w:t>
      </w:r>
      <w:r>
        <w:rPr>
          <w:rFonts w:hint="eastAsia" w:ascii="仿宋_GB2312" w:hAnsi="仿宋_GB2312" w:eastAsia="仿宋_GB2312" w:cs="仿宋_GB2312"/>
          <w:sz w:val="32"/>
          <w:szCs w:val="32"/>
          <w:lang w:val="en-US" w:eastAsia="zh-CN"/>
        </w:rPr>
        <w:t>薪酬管理制度</w:t>
      </w:r>
      <w:r>
        <w:rPr>
          <w:rFonts w:hint="eastAsia" w:ascii="仿宋_GB2312" w:hAnsi="仿宋_GB2312" w:eastAsia="仿宋_GB2312" w:cs="仿宋_GB2312"/>
          <w:sz w:val="32"/>
          <w:szCs w:val="32"/>
        </w:rPr>
        <w:t>执行。</w:t>
      </w:r>
    </w:p>
    <w:p w14:paraId="0657F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六、纪律与监督</w:t>
      </w:r>
    </w:p>
    <w:p w14:paraId="66843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工作严格执行《事业单位公开招聘违纪违规行为处理规定》（人力资源和社会保障部令第35号）《事业单位人事管理回避规定》（人社部规〔2019〕1号）等规定，自觉接受纪检监察和社会监督，严禁徇私舞弊，若有违反规定或弄虚作假，一经查实，取消应聘资格，并对相关人员按照有关规定进行严肃处理。</w:t>
      </w:r>
    </w:p>
    <w:p w14:paraId="09B58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七、特别提示</w:t>
      </w:r>
    </w:p>
    <w:p w14:paraId="6602F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（一）所有岗位招聘的人员因工作安排需要兼任其他相关工作的，应服从工作安排。</w:t>
      </w:r>
    </w:p>
    <w:p w14:paraId="1DECE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过程中如有调整、补充等事项，在单位官网上公告。因报考者不主动、不按要求登录相关网站及查看邮箱查阅相关信息，导致本人未能按要求参加笔试、面试、体检、</w:t>
      </w:r>
      <w:r>
        <w:rPr>
          <w:rFonts w:hint="eastAsia" w:ascii="仿宋_GB2312" w:hAnsi="仿宋_GB2312" w:eastAsia="仿宋_GB2312" w:cs="仿宋_GB2312"/>
          <w:sz w:val="32"/>
          <w:szCs w:val="32"/>
          <w:lang w:val="en-US" w:eastAsia="zh-CN"/>
        </w:rPr>
        <w:t>考察</w:t>
      </w:r>
      <w:r>
        <w:rPr>
          <w:rFonts w:hint="eastAsia" w:ascii="仿宋_GB2312" w:hAnsi="仿宋_GB2312" w:eastAsia="仿宋_GB2312" w:cs="仿宋_GB2312"/>
          <w:sz w:val="32"/>
          <w:szCs w:val="32"/>
        </w:rPr>
        <w:t>、递补、聘用的，责任由报考者自负。</w:t>
      </w:r>
    </w:p>
    <w:p w14:paraId="25314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（三）请报考者确保联系方式正确、畅通。否则因无法与报考者取得联系所造成的后果，由报考者自负。</w:t>
      </w:r>
    </w:p>
    <w:p w14:paraId="799A4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八、咨询、监督电话</w:t>
      </w:r>
    </w:p>
    <w:p w14:paraId="35146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综合政策咨询电话：028-86110869，028-86119968；监督电话：028-86113896。</w:t>
      </w:r>
    </w:p>
    <w:p w14:paraId="7C3AC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09FCC58">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附件：1.四川省教育融媒体中心（四川教育电视台）2025年公开招聘编外工作人员报名表</w:t>
      </w:r>
    </w:p>
    <w:p w14:paraId="572F319C">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2.四川省教育融媒体中心（四川教育电视台）2025年公开招聘编外工作人员岗位和条件一览表</w:t>
      </w:r>
    </w:p>
    <w:p w14:paraId="14E90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EFF1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005B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9B34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EFCE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3FE2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7104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FBFE7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6633D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CB575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2D7E4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623C3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D24DC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3481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A860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BCA9A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CF35A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4E75A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0C0D9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E6F3F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6CA5A9BA">
      <w:pPr>
        <w:overflowPunct w:val="0"/>
        <w:topLinePunct/>
        <w:spacing w:line="600" w:lineRule="exact"/>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val="en-US" w:eastAsia="zh-CN"/>
        </w:rPr>
        <w:t>四川省教育融媒体中心</w:t>
      </w:r>
      <w:r>
        <w:rPr>
          <w:rFonts w:hint="eastAsia" w:ascii="方正小标宋简体" w:hAnsi="方正小标宋简体" w:eastAsia="方正小标宋简体" w:cs="方正小标宋简体"/>
          <w:color w:val="000000"/>
          <w:sz w:val="32"/>
          <w:szCs w:val="32"/>
        </w:rPr>
        <w:t>（</w:t>
      </w:r>
      <w:r>
        <w:rPr>
          <w:rFonts w:hint="eastAsia" w:ascii="方正小标宋简体" w:hAnsi="方正小标宋简体" w:eastAsia="方正小标宋简体" w:cs="方正小标宋简体"/>
          <w:color w:val="000000"/>
          <w:sz w:val="32"/>
          <w:szCs w:val="32"/>
          <w:lang w:val="en-US" w:eastAsia="zh-CN"/>
        </w:rPr>
        <w:t>四川教育电视台</w:t>
      </w:r>
      <w:r>
        <w:rPr>
          <w:rFonts w:hint="eastAsia" w:ascii="方正小标宋简体" w:hAnsi="方正小标宋简体" w:eastAsia="方正小标宋简体" w:cs="方正小标宋简体"/>
          <w:color w:val="000000"/>
          <w:sz w:val="32"/>
          <w:szCs w:val="32"/>
        </w:rPr>
        <w:t>）</w:t>
      </w:r>
    </w:p>
    <w:p w14:paraId="02957BB7">
      <w:pPr>
        <w:overflowPunct w:val="0"/>
        <w:topLinePunct/>
        <w:spacing w:line="600" w:lineRule="exact"/>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rPr>
        <w:t>202</w:t>
      </w:r>
      <w:r>
        <w:rPr>
          <w:rFonts w:hint="eastAsia" w:ascii="方正小标宋简体" w:hAnsi="方正小标宋简体" w:eastAsia="方正小标宋简体" w:cs="方正小标宋简体"/>
          <w:color w:val="000000"/>
          <w:sz w:val="32"/>
          <w:szCs w:val="32"/>
          <w:lang w:val="en-US" w:eastAsia="zh-CN"/>
        </w:rPr>
        <w:t>5</w:t>
      </w:r>
      <w:r>
        <w:rPr>
          <w:rFonts w:hint="eastAsia" w:ascii="方正小标宋简体" w:hAnsi="方正小标宋简体" w:eastAsia="方正小标宋简体" w:cs="方正小标宋简体"/>
          <w:color w:val="000000"/>
          <w:sz w:val="32"/>
          <w:szCs w:val="32"/>
        </w:rPr>
        <w:t>年公开招聘编外工作人员</w:t>
      </w:r>
      <w:r>
        <w:rPr>
          <w:rFonts w:hint="eastAsia" w:ascii="方正小标宋简体" w:hAnsi="方正小标宋简体" w:eastAsia="方正小标宋简体" w:cs="方正小标宋简体"/>
          <w:color w:val="000000"/>
          <w:sz w:val="32"/>
          <w:szCs w:val="32"/>
          <w:lang w:val="en-US" w:eastAsia="zh-CN"/>
        </w:rPr>
        <w:t>报名表</w:t>
      </w:r>
    </w:p>
    <w:p w14:paraId="78DF0672">
      <w:pPr>
        <w:overflowPunct w:val="0"/>
        <w:topLinePunct/>
        <w:spacing w:line="200" w:lineRule="exact"/>
        <w:jc w:val="center"/>
        <w:rPr>
          <w:rFonts w:hint="eastAsia" w:eastAsia="方正小标宋简体"/>
          <w:color w:val="000000"/>
          <w:sz w:val="40"/>
          <w:szCs w:val="40"/>
        </w:rPr>
      </w:pPr>
    </w:p>
    <w:tbl>
      <w:tblPr>
        <w:tblStyle w:val="5"/>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87"/>
        <w:gridCol w:w="849"/>
        <w:gridCol w:w="239"/>
        <w:gridCol w:w="895"/>
        <w:gridCol w:w="190"/>
        <w:gridCol w:w="953"/>
        <w:gridCol w:w="395"/>
        <w:gridCol w:w="5"/>
        <w:gridCol w:w="44"/>
        <w:gridCol w:w="692"/>
        <w:gridCol w:w="527"/>
        <w:gridCol w:w="5"/>
        <w:gridCol w:w="71"/>
        <w:gridCol w:w="1136"/>
        <w:gridCol w:w="1796"/>
      </w:tblGrid>
      <w:tr w14:paraId="3628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5" w:type="dxa"/>
            <w:gridSpan w:val="2"/>
            <w:noWrap w:val="0"/>
            <w:vAlign w:val="center"/>
          </w:tcPr>
          <w:p w14:paraId="28C4E3E0">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姓  名</w:t>
            </w:r>
          </w:p>
        </w:tc>
        <w:tc>
          <w:tcPr>
            <w:tcW w:w="1088" w:type="dxa"/>
            <w:gridSpan w:val="2"/>
            <w:noWrap w:val="0"/>
            <w:vAlign w:val="center"/>
          </w:tcPr>
          <w:p w14:paraId="3D92CD15">
            <w:pPr>
              <w:overflowPunct w:val="0"/>
              <w:topLinePunct/>
              <w:jc w:val="center"/>
              <w:rPr>
                <w:rFonts w:hint="eastAsia" w:ascii="仿宋_GB2312" w:hAnsi="仿宋_GB2312" w:eastAsia="仿宋_GB2312" w:cs="仿宋_GB2312"/>
                <w:sz w:val="24"/>
              </w:rPr>
            </w:pPr>
          </w:p>
        </w:tc>
        <w:tc>
          <w:tcPr>
            <w:tcW w:w="1085" w:type="dxa"/>
            <w:gridSpan w:val="2"/>
            <w:noWrap w:val="0"/>
            <w:vAlign w:val="center"/>
          </w:tcPr>
          <w:p w14:paraId="58A1C614">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性  别</w:t>
            </w:r>
          </w:p>
        </w:tc>
        <w:tc>
          <w:tcPr>
            <w:tcW w:w="1348" w:type="dxa"/>
            <w:gridSpan w:val="2"/>
            <w:noWrap w:val="0"/>
            <w:vAlign w:val="center"/>
          </w:tcPr>
          <w:p w14:paraId="24925D2C">
            <w:pPr>
              <w:overflowPunct w:val="0"/>
              <w:topLinePunct/>
              <w:jc w:val="center"/>
              <w:rPr>
                <w:rFonts w:hint="eastAsia" w:ascii="仿宋_GB2312" w:hAnsi="仿宋_GB2312" w:eastAsia="仿宋_GB2312" w:cs="仿宋_GB2312"/>
                <w:sz w:val="24"/>
              </w:rPr>
            </w:pPr>
          </w:p>
        </w:tc>
        <w:tc>
          <w:tcPr>
            <w:tcW w:w="1268" w:type="dxa"/>
            <w:gridSpan w:val="4"/>
            <w:noWrap w:val="0"/>
            <w:vAlign w:val="center"/>
          </w:tcPr>
          <w:p w14:paraId="11241CBA">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出生年月（   岁）</w:t>
            </w:r>
          </w:p>
        </w:tc>
        <w:tc>
          <w:tcPr>
            <w:tcW w:w="1212" w:type="dxa"/>
            <w:gridSpan w:val="3"/>
            <w:noWrap w:val="0"/>
            <w:vAlign w:val="center"/>
          </w:tcPr>
          <w:p w14:paraId="4E4C9337">
            <w:pPr>
              <w:overflowPunct w:val="0"/>
              <w:topLinePunct/>
              <w:spacing w:line="300" w:lineRule="exact"/>
              <w:jc w:val="center"/>
              <w:rPr>
                <w:rFonts w:hint="eastAsia" w:ascii="仿宋_GB2312" w:hAnsi="仿宋_GB2312" w:eastAsia="仿宋_GB2312" w:cs="仿宋_GB2312"/>
                <w:sz w:val="24"/>
                <w:szCs w:val="21"/>
              </w:rPr>
            </w:pPr>
          </w:p>
        </w:tc>
        <w:tc>
          <w:tcPr>
            <w:tcW w:w="1796" w:type="dxa"/>
            <w:vMerge w:val="restart"/>
            <w:noWrap w:val="0"/>
            <w:vAlign w:val="center"/>
          </w:tcPr>
          <w:p w14:paraId="2E6BF72D">
            <w:pPr>
              <w:overflowPunct w:val="0"/>
              <w:topLinePunct/>
              <w:spacing w:line="30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照  片</w:t>
            </w:r>
          </w:p>
        </w:tc>
      </w:tr>
      <w:tr w14:paraId="08ED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5" w:type="dxa"/>
            <w:gridSpan w:val="2"/>
            <w:noWrap w:val="0"/>
            <w:vAlign w:val="center"/>
          </w:tcPr>
          <w:p w14:paraId="31C34CFB">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民  族</w:t>
            </w:r>
          </w:p>
        </w:tc>
        <w:tc>
          <w:tcPr>
            <w:tcW w:w="1088" w:type="dxa"/>
            <w:gridSpan w:val="2"/>
            <w:noWrap w:val="0"/>
            <w:vAlign w:val="center"/>
          </w:tcPr>
          <w:p w14:paraId="753ABB82">
            <w:pPr>
              <w:overflowPunct w:val="0"/>
              <w:topLinePunct/>
              <w:spacing w:line="300" w:lineRule="exact"/>
              <w:jc w:val="center"/>
              <w:rPr>
                <w:rFonts w:hint="eastAsia" w:ascii="仿宋_GB2312" w:hAnsi="仿宋_GB2312" w:eastAsia="仿宋_GB2312" w:cs="仿宋_GB2312"/>
                <w:sz w:val="24"/>
              </w:rPr>
            </w:pPr>
          </w:p>
        </w:tc>
        <w:tc>
          <w:tcPr>
            <w:tcW w:w="1085" w:type="dxa"/>
            <w:gridSpan w:val="2"/>
            <w:noWrap w:val="0"/>
            <w:vAlign w:val="center"/>
          </w:tcPr>
          <w:p w14:paraId="4FC69DFA">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籍  贯</w:t>
            </w:r>
          </w:p>
        </w:tc>
        <w:tc>
          <w:tcPr>
            <w:tcW w:w="1348" w:type="dxa"/>
            <w:gridSpan w:val="2"/>
            <w:noWrap w:val="0"/>
            <w:vAlign w:val="center"/>
          </w:tcPr>
          <w:p w14:paraId="104D67A3">
            <w:pPr>
              <w:overflowPunct w:val="0"/>
              <w:topLinePunct/>
              <w:jc w:val="center"/>
              <w:rPr>
                <w:rFonts w:hint="eastAsia" w:ascii="仿宋_GB2312" w:hAnsi="仿宋_GB2312" w:eastAsia="仿宋_GB2312" w:cs="仿宋_GB2312"/>
                <w:sz w:val="24"/>
              </w:rPr>
            </w:pPr>
          </w:p>
        </w:tc>
        <w:tc>
          <w:tcPr>
            <w:tcW w:w="1268" w:type="dxa"/>
            <w:gridSpan w:val="4"/>
            <w:noWrap w:val="0"/>
            <w:vAlign w:val="center"/>
          </w:tcPr>
          <w:p w14:paraId="1F03B541">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出 生 地</w:t>
            </w:r>
          </w:p>
        </w:tc>
        <w:tc>
          <w:tcPr>
            <w:tcW w:w="1212" w:type="dxa"/>
            <w:gridSpan w:val="3"/>
            <w:noWrap w:val="0"/>
            <w:vAlign w:val="center"/>
          </w:tcPr>
          <w:p w14:paraId="34B2B052">
            <w:pPr>
              <w:overflowPunct w:val="0"/>
              <w:topLinePunct/>
              <w:jc w:val="center"/>
              <w:rPr>
                <w:rFonts w:hint="eastAsia" w:ascii="仿宋_GB2312" w:hAnsi="仿宋_GB2312" w:eastAsia="仿宋_GB2312" w:cs="仿宋_GB2312"/>
                <w:sz w:val="24"/>
              </w:rPr>
            </w:pPr>
          </w:p>
        </w:tc>
        <w:tc>
          <w:tcPr>
            <w:tcW w:w="1796" w:type="dxa"/>
            <w:vMerge w:val="continue"/>
            <w:noWrap w:val="0"/>
            <w:vAlign w:val="top"/>
          </w:tcPr>
          <w:p w14:paraId="42467D4D">
            <w:pPr>
              <w:overflowPunct w:val="0"/>
              <w:topLinePunct/>
              <w:rPr>
                <w:rFonts w:hint="eastAsia" w:ascii="仿宋_GB2312" w:hAnsi="仿宋_GB2312" w:eastAsia="仿宋_GB2312" w:cs="仿宋_GB2312"/>
                <w:sz w:val="24"/>
              </w:rPr>
            </w:pPr>
          </w:p>
        </w:tc>
      </w:tr>
      <w:tr w14:paraId="1469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5" w:type="dxa"/>
            <w:gridSpan w:val="2"/>
            <w:noWrap w:val="0"/>
            <w:vAlign w:val="center"/>
          </w:tcPr>
          <w:p w14:paraId="088F2683">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入  党</w:t>
            </w:r>
          </w:p>
          <w:p w14:paraId="0F8FAA73">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时  间</w:t>
            </w:r>
          </w:p>
        </w:tc>
        <w:tc>
          <w:tcPr>
            <w:tcW w:w="1088" w:type="dxa"/>
            <w:gridSpan w:val="2"/>
            <w:noWrap w:val="0"/>
            <w:vAlign w:val="center"/>
          </w:tcPr>
          <w:p w14:paraId="20547EC8">
            <w:pPr>
              <w:overflowPunct w:val="0"/>
              <w:topLinePunct/>
              <w:spacing w:line="300" w:lineRule="exact"/>
              <w:jc w:val="center"/>
              <w:rPr>
                <w:rFonts w:hint="eastAsia" w:ascii="仿宋_GB2312" w:hAnsi="仿宋_GB2312" w:eastAsia="仿宋_GB2312" w:cs="仿宋_GB2312"/>
                <w:sz w:val="24"/>
              </w:rPr>
            </w:pPr>
          </w:p>
        </w:tc>
        <w:tc>
          <w:tcPr>
            <w:tcW w:w="1085" w:type="dxa"/>
            <w:gridSpan w:val="2"/>
            <w:noWrap w:val="0"/>
            <w:vAlign w:val="center"/>
          </w:tcPr>
          <w:p w14:paraId="0EBC14C5">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参加工</w:t>
            </w:r>
          </w:p>
          <w:p w14:paraId="559F92DA">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作时间</w:t>
            </w:r>
          </w:p>
        </w:tc>
        <w:tc>
          <w:tcPr>
            <w:tcW w:w="1348" w:type="dxa"/>
            <w:gridSpan w:val="2"/>
            <w:noWrap w:val="0"/>
            <w:vAlign w:val="center"/>
          </w:tcPr>
          <w:p w14:paraId="66ABD06E">
            <w:pPr>
              <w:overflowPunct w:val="0"/>
              <w:topLinePunct/>
              <w:jc w:val="center"/>
              <w:rPr>
                <w:rFonts w:hint="eastAsia" w:ascii="仿宋_GB2312" w:hAnsi="仿宋_GB2312" w:eastAsia="仿宋_GB2312" w:cs="仿宋_GB2312"/>
                <w:sz w:val="24"/>
              </w:rPr>
            </w:pPr>
          </w:p>
        </w:tc>
        <w:tc>
          <w:tcPr>
            <w:tcW w:w="1268" w:type="dxa"/>
            <w:gridSpan w:val="4"/>
            <w:noWrap w:val="0"/>
            <w:vAlign w:val="center"/>
          </w:tcPr>
          <w:p w14:paraId="51DF0CFF">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健康状况</w:t>
            </w:r>
          </w:p>
        </w:tc>
        <w:tc>
          <w:tcPr>
            <w:tcW w:w="1212" w:type="dxa"/>
            <w:gridSpan w:val="3"/>
            <w:noWrap w:val="0"/>
            <w:vAlign w:val="center"/>
          </w:tcPr>
          <w:p w14:paraId="2067DCFE">
            <w:pPr>
              <w:overflowPunct w:val="0"/>
              <w:topLinePunct/>
              <w:spacing w:line="300" w:lineRule="exact"/>
              <w:jc w:val="center"/>
              <w:rPr>
                <w:rFonts w:hint="eastAsia" w:ascii="仿宋_GB2312" w:hAnsi="仿宋_GB2312" w:eastAsia="仿宋_GB2312" w:cs="仿宋_GB2312"/>
                <w:sz w:val="24"/>
              </w:rPr>
            </w:pPr>
          </w:p>
        </w:tc>
        <w:tc>
          <w:tcPr>
            <w:tcW w:w="1796" w:type="dxa"/>
            <w:vMerge w:val="continue"/>
            <w:noWrap w:val="0"/>
            <w:vAlign w:val="top"/>
          </w:tcPr>
          <w:p w14:paraId="245BD6AF">
            <w:pPr>
              <w:overflowPunct w:val="0"/>
              <w:topLinePunct/>
              <w:rPr>
                <w:rFonts w:hint="eastAsia" w:ascii="仿宋_GB2312" w:hAnsi="仿宋_GB2312" w:eastAsia="仿宋_GB2312" w:cs="仿宋_GB2312"/>
                <w:sz w:val="24"/>
              </w:rPr>
            </w:pPr>
          </w:p>
        </w:tc>
      </w:tr>
      <w:tr w14:paraId="7F74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5" w:type="dxa"/>
            <w:gridSpan w:val="2"/>
            <w:noWrap w:val="0"/>
            <w:vAlign w:val="center"/>
          </w:tcPr>
          <w:p w14:paraId="3F7533B4">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现工作单位及职务</w:t>
            </w:r>
          </w:p>
        </w:tc>
        <w:tc>
          <w:tcPr>
            <w:tcW w:w="6001" w:type="dxa"/>
            <w:gridSpan w:val="13"/>
            <w:noWrap w:val="0"/>
            <w:vAlign w:val="center"/>
          </w:tcPr>
          <w:p w14:paraId="73AE90EE">
            <w:pPr>
              <w:overflowPunct w:val="0"/>
              <w:topLinePunct/>
              <w:rPr>
                <w:rFonts w:hint="eastAsia" w:ascii="仿宋_GB2312" w:hAnsi="仿宋_GB2312" w:eastAsia="仿宋_GB2312" w:cs="仿宋_GB2312"/>
                <w:sz w:val="24"/>
              </w:rPr>
            </w:pPr>
          </w:p>
        </w:tc>
        <w:tc>
          <w:tcPr>
            <w:tcW w:w="1796" w:type="dxa"/>
            <w:vMerge w:val="continue"/>
            <w:noWrap w:val="0"/>
            <w:vAlign w:val="top"/>
          </w:tcPr>
          <w:p w14:paraId="1FA93163">
            <w:pPr>
              <w:overflowPunct w:val="0"/>
              <w:topLinePunct/>
              <w:rPr>
                <w:rFonts w:hint="eastAsia" w:ascii="仿宋_GB2312" w:hAnsi="仿宋_GB2312" w:eastAsia="仿宋_GB2312" w:cs="仿宋_GB2312"/>
                <w:sz w:val="24"/>
              </w:rPr>
            </w:pPr>
          </w:p>
        </w:tc>
      </w:tr>
      <w:tr w14:paraId="216C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5" w:type="dxa"/>
            <w:gridSpan w:val="2"/>
            <w:vMerge w:val="restart"/>
            <w:noWrap w:val="0"/>
            <w:vAlign w:val="center"/>
          </w:tcPr>
          <w:p w14:paraId="7D1A2823">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学  历</w:t>
            </w:r>
          </w:p>
          <w:p w14:paraId="2DBC2048">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学  位</w:t>
            </w:r>
          </w:p>
        </w:tc>
        <w:tc>
          <w:tcPr>
            <w:tcW w:w="1088" w:type="dxa"/>
            <w:gridSpan w:val="2"/>
            <w:noWrap w:val="0"/>
            <w:vAlign w:val="center"/>
          </w:tcPr>
          <w:p w14:paraId="796BDA1F">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全日制</w:t>
            </w:r>
          </w:p>
          <w:p w14:paraId="148D26C6">
            <w:pPr>
              <w:overflowPunct w:val="0"/>
              <w:topLinePunct/>
              <w:spacing w:line="300" w:lineRule="exact"/>
              <w:jc w:val="center"/>
              <w:rPr>
                <w:rFonts w:hint="eastAsia" w:ascii="仿宋_GB2312" w:hAnsi="仿宋_GB2312" w:eastAsia="仿宋_GB2312" w:cs="仿宋_GB2312"/>
                <w:b/>
                <w:bCs/>
                <w:sz w:val="24"/>
                <w:szCs w:val="26"/>
              </w:rPr>
            </w:pPr>
            <w:r>
              <w:rPr>
                <w:rFonts w:hint="eastAsia" w:ascii="仿宋_GB2312" w:hAnsi="仿宋_GB2312" w:eastAsia="仿宋_GB2312" w:cs="仿宋_GB2312"/>
                <w:b/>
                <w:bCs/>
                <w:sz w:val="24"/>
                <w:szCs w:val="28"/>
              </w:rPr>
              <w:t>教  育</w:t>
            </w:r>
          </w:p>
        </w:tc>
        <w:tc>
          <w:tcPr>
            <w:tcW w:w="2433" w:type="dxa"/>
            <w:gridSpan w:val="4"/>
            <w:noWrap w:val="0"/>
            <w:vAlign w:val="center"/>
          </w:tcPr>
          <w:p w14:paraId="2E001655">
            <w:pPr>
              <w:overflowPunct w:val="0"/>
              <w:topLinePunct/>
              <w:jc w:val="center"/>
              <w:rPr>
                <w:rFonts w:hint="eastAsia" w:ascii="仿宋_GB2312" w:hAnsi="仿宋_GB2312" w:eastAsia="仿宋_GB2312" w:cs="仿宋_GB2312"/>
                <w:sz w:val="24"/>
              </w:rPr>
            </w:pPr>
          </w:p>
        </w:tc>
        <w:tc>
          <w:tcPr>
            <w:tcW w:w="1268" w:type="dxa"/>
            <w:gridSpan w:val="4"/>
            <w:noWrap w:val="0"/>
            <w:vAlign w:val="top"/>
          </w:tcPr>
          <w:p w14:paraId="74A3395B">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毕业院校系及专业</w:t>
            </w:r>
          </w:p>
        </w:tc>
        <w:tc>
          <w:tcPr>
            <w:tcW w:w="3008" w:type="dxa"/>
            <w:gridSpan w:val="4"/>
            <w:noWrap w:val="0"/>
            <w:vAlign w:val="center"/>
          </w:tcPr>
          <w:p w14:paraId="1CC3966D">
            <w:pPr>
              <w:overflowPunct w:val="0"/>
              <w:topLinePun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tc>
      </w:tr>
      <w:tr w14:paraId="7CE1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5" w:type="dxa"/>
            <w:gridSpan w:val="2"/>
            <w:vMerge w:val="continue"/>
            <w:noWrap w:val="0"/>
            <w:vAlign w:val="top"/>
          </w:tcPr>
          <w:p w14:paraId="6560C09A">
            <w:pPr>
              <w:overflowPunct w:val="0"/>
              <w:topLinePunct/>
              <w:spacing w:line="300" w:lineRule="exact"/>
              <w:jc w:val="center"/>
              <w:rPr>
                <w:rFonts w:hint="eastAsia" w:ascii="仿宋_GB2312" w:hAnsi="仿宋_GB2312" w:eastAsia="仿宋_GB2312" w:cs="仿宋_GB2312"/>
                <w:b/>
                <w:bCs/>
                <w:sz w:val="24"/>
                <w:szCs w:val="26"/>
              </w:rPr>
            </w:pPr>
          </w:p>
        </w:tc>
        <w:tc>
          <w:tcPr>
            <w:tcW w:w="1088" w:type="dxa"/>
            <w:gridSpan w:val="2"/>
            <w:noWrap w:val="0"/>
            <w:vAlign w:val="center"/>
          </w:tcPr>
          <w:p w14:paraId="7667CCF3">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在  职</w:t>
            </w:r>
          </w:p>
          <w:p w14:paraId="04F8279A">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教  育</w:t>
            </w:r>
          </w:p>
        </w:tc>
        <w:tc>
          <w:tcPr>
            <w:tcW w:w="2433" w:type="dxa"/>
            <w:gridSpan w:val="4"/>
            <w:noWrap w:val="0"/>
            <w:vAlign w:val="center"/>
          </w:tcPr>
          <w:p w14:paraId="07A5E2B7">
            <w:pPr>
              <w:overflowPunct w:val="0"/>
              <w:topLinePunct/>
              <w:jc w:val="center"/>
              <w:rPr>
                <w:rFonts w:hint="eastAsia" w:ascii="仿宋_GB2312" w:hAnsi="仿宋_GB2312" w:eastAsia="仿宋_GB2312" w:cs="仿宋_GB2312"/>
                <w:sz w:val="24"/>
              </w:rPr>
            </w:pPr>
          </w:p>
        </w:tc>
        <w:tc>
          <w:tcPr>
            <w:tcW w:w="1268" w:type="dxa"/>
            <w:gridSpan w:val="4"/>
            <w:noWrap w:val="0"/>
            <w:vAlign w:val="center"/>
          </w:tcPr>
          <w:p w14:paraId="28E5DBCA">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毕业院校系及专业</w:t>
            </w:r>
          </w:p>
        </w:tc>
        <w:tc>
          <w:tcPr>
            <w:tcW w:w="3008" w:type="dxa"/>
            <w:gridSpan w:val="4"/>
            <w:noWrap w:val="0"/>
            <w:vAlign w:val="center"/>
          </w:tcPr>
          <w:p w14:paraId="6367E0A9">
            <w:pPr>
              <w:overflowPunct w:val="0"/>
              <w:topLinePunct/>
              <w:rPr>
                <w:rFonts w:hint="eastAsia" w:ascii="仿宋_GB2312" w:hAnsi="仿宋_GB2312" w:eastAsia="仿宋_GB2312" w:cs="仿宋_GB2312"/>
                <w:sz w:val="24"/>
              </w:rPr>
            </w:pPr>
          </w:p>
        </w:tc>
      </w:tr>
      <w:tr w14:paraId="152E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53" w:type="dxa"/>
            <w:gridSpan w:val="4"/>
            <w:noWrap w:val="0"/>
            <w:vAlign w:val="center"/>
          </w:tcPr>
          <w:p w14:paraId="7911712B">
            <w:pPr>
              <w:overflowPunct w:val="0"/>
              <w:topLinePunct/>
              <w:spacing w:line="30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专业技术职称</w:t>
            </w:r>
          </w:p>
        </w:tc>
        <w:tc>
          <w:tcPr>
            <w:tcW w:w="2438" w:type="dxa"/>
            <w:gridSpan w:val="5"/>
            <w:noWrap w:val="0"/>
            <w:vAlign w:val="center"/>
          </w:tcPr>
          <w:p w14:paraId="746F8F08">
            <w:pPr>
              <w:overflowPunct w:val="0"/>
              <w:topLinePunct/>
              <w:rPr>
                <w:rFonts w:hint="eastAsia" w:ascii="仿宋_GB2312" w:hAnsi="仿宋_GB2312" w:eastAsia="仿宋_GB2312" w:cs="仿宋_GB2312"/>
                <w:sz w:val="24"/>
              </w:rPr>
            </w:pPr>
          </w:p>
        </w:tc>
        <w:tc>
          <w:tcPr>
            <w:tcW w:w="1268" w:type="dxa"/>
            <w:gridSpan w:val="4"/>
            <w:noWrap w:val="0"/>
            <w:vAlign w:val="center"/>
          </w:tcPr>
          <w:p w14:paraId="22F824C7">
            <w:pPr>
              <w:overflowPunct w:val="0"/>
              <w:topLinePunct/>
              <w:jc w:val="center"/>
              <w:rPr>
                <w:rFonts w:hint="eastAsia" w:ascii="仿宋_GB2312" w:hAnsi="仿宋_GB2312" w:eastAsia="仿宋_GB2312" w:cs="仿宋_GB2312"/>
                <w:sz w:val="24"/>
              </w:rPr>
            </w:pPr>
            <w:r>
              <w:rPr>
                <w:rFonts w:hint="eastAsia" w:ascii="仿宋_GB2312" w:hAnsi="仿宋_GB2312" w:eastAsia="仿宋_GB2312" w:cs="仿宋_GB2312"/>
                <w:b/>
                <w:bCs/>
                <w:sz w:val="24"/>
                <w:szCs w:val="28"/>
              </w:rPr>
              <w:t>报考岗位</w:t>
            </w:r>
          </w:p>
        </w:tc>
        <w:tc>
          <w:tcPr>
            <w:tcW w:w="3003" w:type="dxa"/>
            <w:gridSpan w:val="3"/>
            <w:noWrap w:val="0"/>
            <w:vAlign w:val="center"/>
          </w:tcPr>
          <w:p w14:paraId="668204C8">
            <w:pPr>
              <w:overflowPunct w:val="0"/>
              <w:topLinePunct/>
              <w:rPr>
                <w:rFonts w:hint="eastAsia" w:ascii="仿宋_GB2312" w:hAnsi="仿宋_GB2312" w:eastAsia="仿宋_GB2312" w:cs="仿宋_GB2312"/>
                <w:sz w:val="24"/>
              </w:rPr>
            </w:pPr>
          </w:p>
        </w:tc>
      </w:tr>
      <w:tr w14:paraId="6DB3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53" w:type="dxa"/>
            <w:gridSpan w:val="4"/>
            <w:noWrap w:val="0"/>
            <w:vAlign w:val="center"/>
          </w:tcPr>
          <w:p w14:paraId="7FB6BD85">
            <w:pPr>
              <w:overflowPunct w:val="0"/>
              <w:topLinePunct/>
              <w:spacing w:line="30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通讯地址</w:t>
            </w:r>
          </w:p>
        </w:tc>
        <w:tc>
          <w:tcPr>
            <w:tcW w:w="6709" w:type="dxa"/>
            <w:gridSpan w:val="12"/>
            <w:noWrap w:val="0"/>
            <w:vAlign w:val="center"/>
          </w:tcPr>
          <w:p w14:paraId="4ED62939">
            <w:pPr>
              <w:overflowPunct w:val="0"/>
              <w:topLinePun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tc>
      </w:tr>
      <w:tr w14:paraId="28AB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53" w:type="dxa"/>
            <w:gridSpan w:val="4"/>
            <w:noWrap w:val="0"/>
            <w:vAlign w:val="center"/>
          </w:tcPr>
          <w:p w14:paraId="5EB6F9E7">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身份证号码</w:t>
            </w:r>
          </w:p>
        </w:tc>
        <w:tc>
          <w:tcPr>
            <w:tcW w:w="2482" w:type="dxa"/>
            <w:gridSpan w:val="6"/>
            <w:noWrap w:val="0"/>
            <w:vAlign w:val="center"/>
          </w:tcPr>
          <w:p w14:paraId="4B836BE4">
            <w:pPr>
              <w:overflowPunct w:val="0"/>
              <w:topLinePunct/>
              <w:spacing w:line="300" w:lineRule="exact"/>
              <w:jc w:val="center"/>
              <w:rPr>
                <w:rFonts w:hint="eastAsia" w:ascii="仿宋_GB2312" w:hAnsi="仿宋_GB2312" w:eastAsia="仿宋_GB2312" w:cs="仿宋_GB2312"/>
                <w:sz w:val="24"/>
                <w:szCs w:val="28"/>
              </w:rPr>
            </w:pPr>
          </w:p>
        </w:tc>
        <w:tc>
          <w:tcPr>
            <w:tcW w:w="1295" w:type="dxa"/>
            <w:gridSpan w:val="4"/>
            <w:noWrap w:val="0"/>
            <w:vAlign w:val="center"/>
          </w:tcPr>
          <w:p w14:paraId="5714F666">
            <w:pPr>
              <w:overflowPunct w:val="0"/>
              <w:topLinePunct/>
              <w:spacing w:line="30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手机号码</w:t>
            </w:r>
          </w:p>
        </w:tc>
        <w:tc>
          <w:tcPr>
            <w:tcW w:w="2932" w:type="dxa"/>
            <w:gridSpan w:val="2"/>
            <w:noWrap w:val="0"/>
            <w:vAlign w:val="center"/>
          </w:tcPr>
          <w:p w14:paraId="33C70B51">
            <w:pPr>
              <w:overflowPunct w:val="0"/>
              <w:topLinePunct/>
              <w:jc w:val="left"/>
              <w:rPr>
                <w:rFonts w:hint="eastAsia" w:ascii="仿宋_GB2312" w:hAnsi="仿宋_GB2312" w:eastAsia="仿宋_GB2312" w:cs="仿宋_GB2312"/>
                <w:sz w:val="24"/>
              </w:rPr>
            </w:pPr>
          </w:p>
        </w:tc>
      </w:tr>
      <w:tr w14:paraId="31CE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trPr>
        <w:tc>
          <w:tcPr>
            <w:tcW w:w="1265" w:type="dxa"/>
            <w:gridSpan w:val="2"/>
            <w:noWrap w:val="0"/>
            <w:textDirection w:val="tbLrV"/>
            <w:vAlign w:val="center"/>
          </w:tcPr>
          <w:p w14:paraId="46DA3166">
            <w:pPr>
              <w:widowControl w:val="0"/>
              <w:overflowPunct w:val="0"/>
              <w:topLinePunct/>
              <w:spacing w:line="300" w:lineRule="exact"/>
              <w:ind w:left="113" w:leftChars="0" w:right="113" w:rightChars="0"/>
              <w:jc w:val="center"/>
              <w:rPr>
                <w:rFonts w:hint="eastAsia" w:ascii="仿宋_GB2312" w:hAnsi="仿宋_GB2312" w:eastAsia="仿宋_GB2312" w:cs="仿宋_GB2312"/>
                <w:sz w:val="24"/>
                <w:lang w:eastAsia="zh-CN"/>
              </w:rPr>
            </w:pPr>
            <w:r>
              <w:rPr>
                <w:rFonts w:hint="eastAsia" w:ascii="仿宋_GB2312" w:hAnsi="仿宋_GB2312" w:eastAsia="仿宋_GB2312" w:cs="仿宋_GB2312"/>
                <w:b/>
                <w:bCs/>
                <w:kern w:val="2"/>
                <w:sz w:val="24"/>
                <w:szCs w:val="28"/>
                <w:lang w:val="en-US" w:eastAsia="zh-CN"/>
              </w:rPr>
              <w:t>个人</w:t>
            </w:r>
            <w:r>
              <w:rPr>
                <w:rFonts w:hint="eastAsia" w:ascii="仿宋_GB2312" w:hAnsi="仿宋_GB2312" w:eastAsia="仿宋_GB2312" w:cs="仿宋_GB2312"/>
                <w:b/>
                <w:bCs/>
                <w:kern w:val="2"/>
                <w:sz w:val="24"/>
                <w:szCs w:val="28"/>
                <w:lang w:eastAsia="zh-CN"/>
              </w:rPr>
              <w:t>简历</w:t>
            </w:r>
          </w:p>
        </w:tc>
        <w:tc>
          <w:tcPr>
            <w:tcW w:w="7797" w:type="dxa"/>
            <w:gridSpan w:val="14"/>
            <w:noWrap w:val="0"/>
            <w:vAlign w:val="top"/>
          </w:tcPr>
          <w:p w14:paraId="4C234C2E">
            <w:pPr>
              <w:widowControl w:val="0"/>
              <w:overflowPunct w:val="0"/>
              <w:topLinePunct/>
              <w:spacing w:line="320" w:lineRule="exact"/>
              <w:jc w:val="both"/>
              <w:rPr>
                <w:rFonts w:hint="eastAsia" w:ascii="仿宋_GB2312" w:hAnsi="仿宋_GB2312" w:eastAsia="仿宋_GB2312" w:cs="仿宋_GB2312"/>
                <w:kern w:val="2"/>
                <w:sz w:val="24"/>
                <w:szCs w:val="20"/>
                <w:lang w:eastAsia="zh-CN"/>
              </w:rPr>
            </w:pPr>
            <w:r>
              <w:rPr>
                <w:rFonts w:hint="eastAsia" w:ascii="仿宋_GB2312" w:hAnsi="仿宋_GB2312" w:eastAsia="仿宋_GB2312" w:cs="仿宋_GB2312"/>
                <w:kern w:val="2"/>
                <w:sz w:val="24"/>
                <w:szCs w:val="20"/>
                <w:lang w:eastAsia="zh-CN"/>
              </w:rPr>
              <w:t>（注：从高中开始填）例：</w:t>
            </w:r>
          </w:p>
          <w:p w14:paraId="08F7E859">
            <w:pPr>
              <w:widowControl w:val="0"/>
              <w:overflowPunct w:val="0"/>
              <w:topLinePunct/>
              <w:spacing w:line="320" w:lineRule="exact"/>
              <w:jc w:val="both"/>
              <w:rPr>
                <w:rFonts w:hint="eastAsia" w:ascii="仿宋_GB2312" w:hAnsi="仿宋_GB2312" w:eastAsia="仿宋_GB2312" w:cs="仿宋_GB2312"/>
                <w:kern w:val="2"/>
                <w:sz w:val="24"/>
                <w:szCs w:val="20"/>
                <w:lang w:val="en-US" w:eastAsia="zh-CN"/>
              </w:rPr>
            </w:pPr>
            <w:r>
              <w:rPr>
                <w:rFonts w:hint="eastAsia" w:ascii="仿宋_GB2312" w:hAnsi="仿宋_GB2312" w:eastAsia="仿宋_GB2312" w:cs="仿宋_GB2312"/>
                <w:kern w:val="2"/>
                <w:sz w:val="24"/>
                <w:szCs w:val="20"/>
                <w:lang w:val="en-US" w:eastAsia="zh-CN"/>
              </w:rPr>
              <w:t>2003.09-2006.07  xx中学高中学习</w:t>
            </w:r>
          </w:p>
          <w:p w14:paraId="7B50CC79">
            <w:pPr>
              <w:widowControl w:val="0"/>
              <w:overflowPunct w:val="0"/>
              <w:topLinePunct/>
              <w:spacing w:line="320" w:lineRule="exact"/>
              <w:jc w:val="both"/>
              <w:rPr>
                <w:rFonts w:hint="eastAsia" w:ascii="仿宋_GB2312" w:hAnsi="仿宋_GB2312" w:eastAsia="仿宋_GB2312" w:cs="仿宋_GB2312"/>
                <w:kern w:val="2"/>
                <w:sz w:val="24"/>
                <w:szCs w:val="20"/>
                <w:lang w:val="en-US" w:eastAsia="zh-CN"/>
              </w:rPr>
            </w:pPr>
            <w:r>
              <w:rPr>
                <w:rFonts w:hint="eastAsia" w:ascii="仿宋_GB2312" w:hAnsi="仿宋_GB2312" w:eastAsia="仿宋_GB2312" w:cs="仿宋_GB2312"/>
                <w:kern w:val="2"/>
                <w:sz w:val="24"/>
                <w:szCs w:val="20"/>
                <w:lang w:val="en-US" w:eastAsia="zh-CN"/>
              </w:rPr>
              <w:t>2006.09-2010.07  xx大学xx专业本科学习，取得xx学士学位</w:t>
            </w:r>
          </w:p>
          <w:p w14:paraId="06BAD310">
            <w:pPr>
              <w:widowControl w:val="0"/>
              <w:overflowPunct w:val="0"/>
              <w:topLinePunct/>
              <w:spacing w:line="320" w:lineRule="exact"/>
              <w:jc w:val="both"/>
              <w:rPr>
                <w:rFonts w:hint="eastAsia" w:ascii="仿宋_GB2312" w:hAnsi="仿宋_GB2312" w:eastAsia="仿宋_GB2312" w:cs="仿宋_GB2312"/>
                <w:kern w:val="2"/>
                <w:sz w:val="24"/>
                <w:szCs w:val="20"/>
                <w:lang w:val="en-US" w:eastAsia="zh-CN"/>
              </w:rPr>
            </w:pPr>
            <w:r>
              <w:rPr>
                <w:rFonts w:hint="eastAsia" w:ascii="仿宋_GB2312" w:hAnsi="仿宋_GB2312" w:eastAsia="仿宋_GB2312" w:cs="仿宋_GB2312"/>
                <w:kern w:val="2"/>
                <w:sz w:val="24"/>
                <w:szCs w:val="20"/>
                <w:lang w:val="en-US" w:eastAsia="zh-CN"/>
              </w:rPr>
              <w:t>2010.09-2012.07  xx大学xx专业研究生学习，取得xx硕士学位</w:t>
            </w:r>
          </w:p>
          <w:p w14:paraId="1B85E30E">
            <w:pPr>
              <w:widowControl w:val="0"/>
              <w:overflowPunct w:val="0"/>
              <w:topLinePunct/>
              <w:spacing w:line="320" w:lineRule="exact"/>
              <w:jc w:val="both"/>
              <w:rPr>
                <w:rFonts w:hint="eastAsia" w:ascii="仿宋_GB2312" w:hAnsi="仿宋_GB2312" w:eastAsia="仿宋_GB2312" w:cs="仿宋_GB2312"/>
                <w:kern w:val="2"/>
                <w:sz w:val="24"/>
                <w:szCs w:val="20"/>
                <w:lang w:val="en-US" w:eastAsia="zh-CN"/>
              </w:rPr>
            </w:pPr>
            <w:r>
              <w:rPr>
                <w:rFonts w:hint="eastAsia" w:ascii="仿宋_GB2312" w:hAnsi="仿宋_GB2312" w:eastAsia="仿宋_GB2312" w:cs="仿宋_GB2312"/>
                <w:kern w:val="2"/>
                <w:sz w:val="24"/>
                <w:szCs w:val="20"/>
                <w:lang w:val="en-US" w:eastAsia="zh-CN"/>
              </w:rPr>
              <w:t>2012.08-2020.12  xx大学xx专业研究生学习，取得xx博士学位</w:t>
            </w:r>
          </w:p>
          <w:p w14:paraId="01962148">
            <w:pPr>
              <w:widowControl w:val="0"/>
              <w:overflowPunct w:val="0"/>
              <w:topLinePunct/>
              <w:spacing w:line="32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kern w:val="2"/>
                <w:sz w:val="24"/>
                <w:szCs w:val="20"/>
                <w:lang w:val="en-US" w:eastAsia="zh-CN"/>
              </w:rPr>
              <w:t>2020.12-         xx单位xx职务</w:t>
            </w:r>
          </w:p>
        </w:tc>
      </w:tr>
      <w:tr w14:paraId="57D6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8" w:hRule="atLeast"/>
        </w:trPr>
        <w:tc>
          <w:tcPr>
            <w:tcW w:w="1265" w:type="dxa"/>
            <w:gridSpan w:val="2"/>
            <w:noWrap w:val="0"/>
            <w:vAlign w:val="center"/>
          </w:tcPr>
          <w:p w14:paraId="2368CEEF">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奖</w:t>
            </w:r>
          </w:p>
          <w:p w14:paraId="64FB0053">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惩</w:t>
            </w:r>
          </w:p>
          <w:p w14:paraId="4B79EEAA">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情</w:t>
            </w:r>
          </w:p>
          <w:p w14:paraId="40CCBB1B">
            <w:pPr>
              <w:overflowPunct w:val="0"/>
              <w:topLinePunct/>
              <w:spacing w:line="30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况</w:t>
            </w:r>
          </w:p>
        </w:tc>
        <w:tc>
          <w:tcPr>
            <w:tcW w:w="7797" w:type="dxa"/>
            <w:gridSpan w:val="14"/>
            <w:noWrap w:val="0"/>
            <w:vAlign w:val="center"/>
          </w:tcPr>
          <w:p w14:paraId="6152D873">
            <w:pPr>
              <w:overflowPunct w:val="0"/>
              <w:topLinePunct/>
              <w:spacing w:line="320" w:lineRule="exact"/>
              <w:jc w:val="both"/>
              <w:rPr>
                <w:rFonts w:hint="eastAsia" w:ascii="仿宋_GB2312" w:hAnsi="仿宋_GB2312" w:eastAsia="仿宋_GB2312" w:cs="仿宋_GB2312"/>
                <w:sz w:val="24"/>
              </w:rPr>
            </w:pPr>
          </w:p>
        </w:tc>
      </w:tr>
      <w:tr w14:paraId="0BA6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9" w:hRule="atLeast"/>
        </w:trPr>
        <w:tc>
          <w:tcPr>
            <w:tcW w:w="978" w:type="dxa"/>
            <w:noWrap w:val="0"/>
            <w:vAlign w:val="center"/>
          </w:tcPr>
          <w:p w14:paraId="41A27D83">
            <w:pPr>
              <w:overflowPunct w:val="0"/>
              <w:topLinePunct/>
              <w:spacing w:line="300" w:lineRule="exact"/>
              <w:jc w:val="center"/>
              <w:rPr>
                <w:rFonts w:hint="eastAsia" w:ascii="仿宋_GB2312" w:hAnsi="仿宋_GB2312" w:eastAsia="仿宋_GB2312" w:cs="仿宋_GB2312"/>
                <w:b/>
                <w:bCs/>
                <w:sz w:val="24"/>
                <w:szCs w:val="28"/>
                <w:lang w:eastAsia="zh-CN"/>
              </w:rPr>
            </w:pPr>
            <w:r>
              <w:rPr>
                <w:rFonts w:hint="eastAsia" w:ascii="仿宋_GB2312" w:hAnsi="仿宋_GB2312" w:eastAsia="仿宋_GB2312" w:cs="仿宋_GB2312"/>
                <w:b/>
                <w:bCs/>
                <w:sz w:val="24"/>
                <w:szCs w:val="28"/>
              </w:rPr>
              <w:t>个人主要</w:t>
            </w:r>
            <w:r>
              <w:rPr>
                <w:rFonts w:hint="eastAsia" w:ascii="仿宋_GB2312" w:hAnsi="仿宋_GB2312" w:eastAsia="仿宋_GB2312" w:cs="仿宋_GB2312"/>
                <w:b/>
                <w:bCs/>
                <w:sz w:val="24"/>
                <w:szCs w:val="28"/>
                <w:lang w:eastAsia="zh-CN"/>
              </w:rPr>
              <w:t>工作业绩或成果</w:t>
            </w:r>
          </w:p>
          <w:p w14:paraId="39338CE8">
            <w:pPr>
              <w:overflowPunct w:val="0"/>
              <w:topLinePunct/>
              <w:spacing w:line="30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（500字以内）</w:t>
            </w:r>
          </w:p>
        </w:tc>
        <w:tc>
          <w:tcPr>
            <w:tcW w:w="8084" w:type="dxa"/>
            <w:gridSpan w:val="15"/>
            <w:noWrap w:val="0"/>
            <w:vAlign w:val="center"/>
          </w:tcPr>
          <w:p w14:paraId="113FCDD1">
            <w:pPr>
              <w:overflowPunct w:val="0"/>
              <w:topLinePunct/>
              <w:jc w:val="left"/>
              <w:rPr>
                <w:rFonts w:hint="eastAsia" w:ascii="仿宋_GB2312" w:hAnsi="仿宋_GB2312" w:eastAsia="仿宋_GB2312" w:cs="仿宋_GB2312"/>
                <w:bCs/>
                <w:sz w:val="24"/>
              </w:rPr>
            </w:pPr>
          </w:p>
        </w:tc>
      </w:tr>
      <w:tr w14:paraId="2CBD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8" w:type="dxa"/>
            <w:vMerge w:val="restart"/>
            <w:noWrap w:val="0"/>
            <w:vAlign w:val="center"/>
          </w:tcPr>
          <w:p w14:paraId="7DDB7C19">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家庭</w:t>
            </w:r>
          </w:p>
          <w:p w14:paraId="3C3BA4C5">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主要</w:t>
            </w:r>
          </w:p>
          <w:p w14:paraId="5073463E">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成员</w:t>
            </w:r>
          </w:p>
          <w:p w14:paraId="7B9B981E">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及重</w:t>
            </w:r>
          </w:p>
          <w:p w14:paraId="30DF3FF4">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要社</w:t>
            </w:r>
          </w:p>
          <w:p w14:paraId="3E629CAC">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会关</w:t>
            </w:r>
          </w:p>
          <w:p w14:paraId="7707FCBE">
            <w:pPr>
              <w:overflowPunct w:val="0"/>
              <w:topLinePunct/>
              <w:spacing w:line="300" w:lineRule="exact"/>
              <w:jc w:val="center"/>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系</w:t>
            </w:r>
          </w:p>
        </w:tc>
        <w:tc>
          <w:tcPr>
            <w:tcW w:w="1136" w:type="dxa"/>
            <w:gridSpan w:val="2"/>
            <w:noWrap w:val="0"/>
            <w:vAlign w:val="center"/>
          </w:tcPr>
          <w:p w14:paraId="4C8C30CF">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称  谓</w:t>
            </w:r>
          </w:p>
        </w:tc>
        <w:tc>
          <w:tcPr>
            <w:tcW w:w="1134" w:type="dxa"/>
            <w:gridSpan w:val="2"/>
            <w:noWrap w:val="0"/>
            <w:vAlign w:val="center"/>
          </w:tcPr>
          <w:p w14:paraId="392A3776">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姓  名</w:t>
            </w:r>
          </w:p>
        </w:tc>
        <w:tc>
          <w:tcPr>
            <w:tcW w:w="1143" w:type="dxa"/>
            <w:gridSpan w:val="2"/>
            <w:noWrap w:val="0"/>
            <w:vAlign w:val="center"/>
          </w:tcPr>
          <w:p w14:paraId="08F69BE3">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出 生</w:t>
            </w:r>
          </w:p>
          <w:p w14:paraId="4FFA858B">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年 月</w:t>
            </w:r>
          </w:p>
        </w:tc>
        <w:tc>
          <w:tcPr>
            <w:tcW w:w="1136" w:type="dxa"/>
            <w:gridSpan w:val="4"/>
            <w:noWrap w:val="0"/>
            <w:vAlign w:val="center"/>
          </w:tcPr>
          <w:p w14:paraId="2282FB1D">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政 治</w:t>
            </w:r>
          </w:p>
          <w:p w14:paraId="0D2C5362">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面 貌</w:t>
            </w:r>
          </w:p>
        </w:tc>
        <w:tc>
          <w:tcPr>
            <w:tcW w:w="3535" w:type="dxa"/>
            <w:gridSpan w:val="5"/>
            <w:noWrap w:val="0"/>
            <w:vAlign w:val="center"/>
          </w:tcPr>
          <w:p w14:paraId="7E0D863E">
            <w:pPr>
              <w:overflowPunct w:val="0"/>
              <w:topLinePunct/>
              <w:spacing w:line="3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工 作 单 位 及 职 务</w:t>
            </w:r>
          </w:p>
        </w:tc>
      </w:tr>
      <w:tr w14:paraId="2B9A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8" w:type="dxa"/>
            <w:vMerge w:val="continue"/>
            <w:noWrap w:val="0"/>
            <w:vAlign w:val="top"/>
          </w:tcPr>
          <w:p w14:paraId="0FCB79F1">
            <w:pPr>
              <w:overflowPunct w:val="0"/>
              <w:topLinePunct/>
              <w:rPr>
                <w:rFonts w:hint="eastAsia" w:ascii="仿宋_GB2312" w:hAnsi="仿宋_GB2312" w:eastAsia="仿宋_GB2312" w:cs="仿宋_GB2312"/>
                <w:sz w:val="24"/>
              </w:rPr>
            </w:pPr>
          </w:p>
        </w:tc>
        <w:tc>
          <w:tcPr>
            <w:tcW w:w="1136" w:type="dxa"/>
            <w:gridSpan w:val="2"/>
            <w:noWrap w:val="0"/>
            <w:vAlign w:val="center"/>
          </w:tcPr>
          <w:p w14:paraId="4566FA27">
            <w:pPr>
              <w:overflowPunct w:val="0"/>
              <w:topLinePunct/>
              <w:jc w:val="center"/>
              <w:rPr>
                <w:rFonts w:hint="eastAsia" w:ascii="仿宋_GB2312" w:hAnsi="仿宋_GB2312" w:eastAsia="仿宋_GB2312" w:cs="仿宋_GB2312"/>
                <w:sz w:val="24"/>
              </w:rPr>
            </w:pPr>
          </w:p>
        </w:tc>
        <w:tc>
          <w:tcPr>
            <w:tcW w:w="1134" w:type="dxa"/>
            <w:gridSpan w:val="2"/>
            <w:noWrap w:val="0"/>
            <w:vAlign w:val="center"/>
          </w:tcPr>
          <w:p w14:paraId="0C3292D0">
            <w:pPr>
              <w:overflowPunct w:val="0"/>
              <w:topLinePunct/>
              <w:jc w:val="center"/>
              <w:rPr>
                <w:rFonts w:hint="eastAsia" w:ascii="仿宋_GB2312" w:hAnsi="仿宋_GB2312" w:eastAsia="仿宋_GB2312" w:cs="仿宋_GB2312"/>
                <w:sz w:val="24"/>
              </w:rPr>
            </w:pPr>
          </w:p>
        </w:tc>
        <w:tc>
          <w:tcPr>
            <w:tcW w:w="1143" w:type="dxa"/>
            <w:gridSpan w:val="2"/>
            <w:noWrap w:val="0"/>
            <w:vAlign w:val="center"/>
          </w:tcPr>
          <w:p w14:paraId="44005D4C">
            <w:pPr>
              <w:overflowPunct w:val="0"/>
              <w:topLinePunct/>
              <w:jc w:val="center"/>
              <w:rPr>
                <w:rFonts w:hint="eastAsia" w:ascii="仿宋_GB2312" w:hAnsi="仿宋_GB2312" w:eastAsia="仿宋_GB2312" w:cs="仿宋_GB2312"/>
                <w:sz w:val="24"/>
              </w:rPr>
            </w:pPr>
          </w:p>
        </w:tc>
        <w:tc>
          <w:tcPr>
            <w:tcW w:w="1136" w:type="dxa"/>
            <w:gridSpan w:val="4"/>
            <w:noWrap w:val="0"/>
            <w:vAlign w:val="center"/>
          </w:tcPr>
          <w:p w14:paraId="1FAF05B0">
            <w:pPr>
              <w:overflowPunct w:val="0"/>
              <w:topLinePunct/>
              <w:jc w:val="center"/>
              <w:rPr>
                <w:rFonts w:hint="eastAsia" w:ascii="仿宋_GB2312" w:hAnsi="仿宋_GB2312" w:eastAsia="仿宋_GB2312" w:cs="仿宋_GB2312"/>
                <w:sz w:val="24"/>
              </w:rPr>
            </w:pPr>
          </w:p>
        </w:tc>
        <w:tc>
          <w:tcPr>
            <w:tcW w:w="3535" w:type="dxa"/>
            <w:gridSpan w:val="5"/>
            <w:noWrap w:val="0"/>
            <w:vAlign w:val="center"/>
          </w:tcPr>
          <w:p w14:paraId="6661F6E6">
            <w:pPr>
              <w:overflowPunct w:val="0"/>
              <w:topLinePunct/>
              <w:jc w:val="left"/>
              <w:rPr>
                <w:rFonts w:hint="eastAsia" w:ascii="仿宋_GB2312" w:hAnsi="仿宋_GB2312" w:eastAsia="仿宋_GB2312" w:cs="仿宋_GB2312"/>
                <w:sz w:val="24"/>
              </w:rPr>
            </w:pPr>
          </w:p>
        </w:tc>
      </w:tr>
      <w:tr w14:paraId="5D2C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8" w:type="dxa"/>
            <w:vMerge w:val="continue"/>
            <w:noWrap w:val="0"/>
            <w:vAlign w:val="top"/>
          </w:tcPr>
          <w:p w14:paraId="27642F1B">
            <w:pPr>
              <w:overflowPunct w:val="0"/>
              <w:topLinePunct/>
              <w:rPr>
                <w:rFonts w:hint="eastAsia" w:ascii="仿宋_GB2312" w:hAnsi="仿宋_GB2312" w:eastAsia="仿宋_GB2312" w:cs="仿宋_GB2312"/>
                <w:sz w:val="24"/>
              </w:rPr>
            </w:pPr>
          </w:p>
        </w:tc>
        <w:tc>
          <w:tcPr>
            <w:tcW w:w="1136" w:type="dxa"/>
            <w:gridSpan w:val="2"/>
            <w:noWrap w:val="0"/>
            <w:vAlign w:val="center"/>
          </w:tcPr>
          <w:p w14:paraId="120743CA">
            <w:pPr>
              <w:overflowPunct w:val="0"/>
              <w:topLinePunct/>
              <w:jc w:val="center"/>
              <w:rPr>
                <w:rFonts w:hint="eastAsia" w:ascii="仿宋_GB2312" w:hAnsi="仿宋_GB2312" w:eastAsia="仿宋_GB2312" w:cs="仿宋_GB2312"/>
                <w:sz w:val="24"/>
              </w:rPr>
            </w:pPr>
          </w:p>
        </w:tc>
        <w:tc>
          <w:tcPr>
            <w:tcW w:w="1134" w:type="dxa"/>
            <w:gridSpan w:val="2"/>
            <w:noWrap w:val="0"/>
            <w:vAlign w:val="center"/>
          </w:tcPr>
          <w:p w14:paraId="438F3C8C">
            <w:pPr>
              <w:overflowPunct w:val="0"/>
              <w:topLinePunct/>
              <w:jc w:val="center"/>
              <w:rPr>
                <w:rFonts w:hint="eastAsia" w:ascii="仿宋_GB2312" w:hAnsi="仿宋_GB2312" w:eastAsia="仿宋_GB2312" w:cs="仿宋_GB2312"/>
                <w:sz w:val="24"/>
              </w:rPr>
            </w:pPr>
          </w:p>
        </w:tc>
        <w:tc>
          <w:tcPr>
            <w:tcW w:w="1143" w:type="dxa"/>
            <w:gridSpan w:val="2"/>
            <w:noWrap w:val="0"/>
            <w:vAlign w:val="center"/>
          </w:tcPr>
          <w:p w14:paraId="5147B037">
            <w:pPr>
              <w:overflowPunct w:val="0"/>
              <w:topLinePunct/>
              <w:jc w:val="center"/>
              <w:rPr>
                <w:rFonts w:hint="eastAsia" w:ascii="仿宋_GB2312" w:hAnsi="仿宋_GB2312" w:eastAsia="仿宋_GB2312" w:cs="仿宋_GB2312"/>
                <w:sz w:val="24"/>
              </w:rPr>
            </w:pPr>
          </w:p>
        </w:tc>
        <w:tc>
          <w:tcPr>
            <w:tcW w:w="1136" w:type="dxa"/>
            <w:gridSpan w:val="4"/>
            <w:noWrap w:val="0"/>
            <w:vAlign w:val="center"/>
          </w:tcPr>
          <w:p w14:paraId="408215B9">
            <w:pPr>
              <w:overflowPunct w:val="0"/>
              <w:topLinePunct/>
              <w:jc w:val="center"/>
              <w:rPr>
                <w:rFonts w:hint="eastAsia" w:ascii="仿宋_GB2312" w:hAnsi="仿宋_GB2312" w:eastAsia="仿宋_GB2312" w:cs="仿宋_GB2312"/>
                <w:sz w:val="24"/>
              </w:rPr>
            </w:pPr>
          </w:p>
        </w:tc>
        <w:tc>
          <w:tcPr>
            <w:tcW w:w="3535" w:type="dxa"/>
            <w:gridSpan w:val="5"/>
            <w:noWrap w:val="0"/>
            <w:vAlign w:val="center"/>
          </w:tcPr>
          <w:p w14:paraId="7F638CCD">
            <w:pPr>
              <w:overflowPunct w:val="0"/>
              <w:topLinePunct/>
              <w:jc w:val="left"/>
              <w:rPr>
                <w:rFonts w:hint="eastAsia" w:ascii="仿宋_GB2312" w:hAnsi="仿宋_GB2312" w:eastAsia="仿宋_GB2312" w:cs="仿宋_GB2312"/>
                <w:sz w:val="24"/>
              </w:rPr>
            </w:pPr>
          </w:p>
        </w:tc>
      </w:tr>
      <w:tr w14:paraId="1EFB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8" w:type="dxa"/>
            <w:vMerge w:val="continue"/>
            <w:noWrap w:val="0"/>
            <w:vAlign w:val="top"/>
          </w:tcPr>
          <w:p w14:paraId="695A51E1">
            <w:pPr>
              <w:overflowPunct w:val="0"/>
              <w:topLinePunct/>
              <w:rPr>
                <w:rFonts w:hint="eastAsia" w:ascii="仿宋_GB2312" w:hAnsi="仿宋_GB2312" w:eastAsia="仿宋_GB2312" w:cs="仿宋_GB2312"/>
                <w:sz w:val="24"/>
              </w:rPr>
            </w:pPr>
          </w:p>
        </w:tc>
        <w:tc>
          <w:tcPr>
            <w:tcW w:w="1136" w:type="dxa"/>
            <w:gridSpan w:val="2"/>
            <w:noWrap w:val="0"/>
            <w:vAlign w:val="center"/>
          </w:tcPr>
          <w:p w14:paraId="2DDB731E">
            <w:pPr>
              <w:overflowPunct w:val="0"/>
              <w:topLinePunct/>
              <w:jc w:val="center"/>
              <w:rPr>
                <w:rFonts w:hint="eastAsia" w:ascii="仿宋_GB2312" w:hAnsi="仿宋_GB2312" w:eastAsia="仿宋_GB2312" w:cs="仿宋_GB2312"/>
                <w:sz w:val="24"/>
              </w:rPr>
            </w:pPr>
          </w:p>
        </w:tc>
        <w:tc>
          <w:tcPr>
            <w:tcW w:w="1134" w:type="dxa"/>
            <w:gridSpan w:val="2"/>
            <w:noWrap w:val="0"/>
            <w:vAlign w:val="center"/>
          </w:tcPr>
          <w:p w14:paraId="590572C2">
            <w:pPr>
              <w:overflowPunct w:val="0"/>
              <w:topLinePunct/>
              <w:jc w:val="center"/>
              <w:rPr>
                <w:rFonts w:hint="eastAsia" w:ascii="仿宋_GB2312" w:hAnsi="仿宋_GB2312" w:eastAsia="仿宋_GB2312" w:cs="仿宋_GB2312"/>
                <w:sz w:val="24"/>
              </w:rPr>
            </w:pPr>
          </w:p>
        </w:tc>
        <w:tc>
          <w:tcPr>
            <w:tcW w:w="1143" w:type="dxa"/>
            <w:gridSpan w:val="2"/>
            <w:noWrap w:val="0"/>
            <w:vAlign w:val="center"/>
          </w:tcPr>
          <w:p w14:paraId="799FA695">
            <w:pPr>
              <w:overflowPunct w:val="0"/>
              <w:topLinePunct/>
              <w:jc w:val="center"/>
              <w:rPr>
                <w:rFonts w:hint="eastAsia" w:ascii="仿宋_GB2312" w:hAnsi="仿宋_GB2312" w:eastAsia="仿宋_GB2312" w:cs="仿宋_GB2312"/>
                <w:sz w:val="24"/>
              </w:rPr>
            </w:pPr>
          </w:p>
        </w:tc>
        <w:tc>
          <w:tcPr>
            <w:tcW w:w="1136" w:type="dxa"/>
            <w:gridSpan w:val="4"/>
            <w:noWrap w:val="0"/>
            <w:vAlign w:val="center"/>
          </w:tcPr>
          <w:p w14:paraId="77E0E1AA">
            <w:pPr>
              <w:overflowPunct w:val="0"/>
              <w:topLinePunct/>
              <w:jc w:val="center"/>
              <w:rPr>
                <w:rFonts w:hint="eastAsia" w:ascii="仿宋_GB2312" w:hAnsi="仿宋_GB2312" w:eastAsia="仿宋_GB2312" w:cs="仿宋_GB2312"/>
                <w:sz w:val="24"/>
              </w:rPr>
            </w:pPr>
          </w:p>
        </w:tc>
        <w:tc>
          <w:tcPr>
            <w:tcW w:w="3535" w:type="dxa"/>
            <w:gridSpan w:val="5"/>
            <w:noWrap w:val="0"/>
            <w:vAlign w:val="center"/>
          </w:tcPr>
          <w:p w14:paraId="36799EE4">
            <w:pPr>
              <w:overflowPunct w:val="0"/>
              <w:topLinePunct/>
              <w:rPr>
                <w:rFonts w:hint="eastAsia" w:ascii="仿宋_GB2312" w:hAnsi="仿宋_GB2312" w:eastAsia="仿宋_GB2312" w:cs="仿宋_GB2312"/>
                <w:sz w:val="24"/>
              </w:rPr>
            </w:pPr>
          </w:p>
        </w:tc>
      </w:tr>
      <w:tr w14:paraId="05D6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8" w:type="dxa"/>
            <w:vMerge w:val="continue"/>
            <w:noWrap w:val="0"/>
            <w:vAlign w:val="top"/>
          </w:tcPr>
          <w:p w14:paraId="55DAC947">
            <w:pPr>
              <w:overflowPunct w:val="0"/>
              <w:topLinePunct/>
              <w:rPr>
                <w:rFonts w:hint="eastAsia" w:ascii="仿宋_GB2312" w:hAnsi="仿宋_GB2312" w:eastAsia="仿宋_GB2312" w:cs="仿宋_GB2312"/>
                <w:sz w:val="24"/>
              </w:rPr>
            </w:pPr>
          </w:p>
        </w:tc>
        <w:tc>
          <w:tcPr>
            <w:tcW w:w="1136" w:type="dxa"/>
            <w:gridSpan w:val="2"/>
            <w:noWrap w:val="0"/>
            <w:vAlign w:val="center"/>
          </w:tcPr>
          <w:p w14:paraId="1CD89075">
            <w:pPr>
              <w:overflowPunct w:val="0"/>
              <w:topLinePunct/>
              <w:jc w:val="center"/>
              <w:rPr>
                <w:rFonts w:hint="eastAsia" w:ascii="仿宋_GB2312" w:hAnsi="仿宋_GB2312" w:eastAsia="仿宋_GB2312" w:cs="仿宋_GB2312"/>
                <w:sz w:val="24"/>
              </w:rPr>
            </w:pPr>
          </w:p>
        </w:tc>
        <w:tc>
          <w:tcPr>
            <w:tcW w:w="1134" w:type="dxa"/>
            <w:gridSpan w:val="2"/>
            <w:noWrap w:val="0"/>
            <w:vAlign w:val="center"/>
          </w:tcPr>
          <w:p w14:paraId="43804B90">
            <w:pPr>
              <w:overflowPunct w:val="0"/>
              <w:topLinePunct/>
              <w:jc w:val="center"/>
              <w:rPr>
                <w:rFonts w:hint="eastAsia" w:ascii="仿宋_GB2312" w:hAnsi="仿宋_GB2312" w:eastAsia="仿宋_GB2312" w:cs="仿宋_GB2312"/>
                <w:sz w:val="24"/>
              </w:rPr>
            </w:pPr>
          </w:p>
        </w:tc>
        <w:tc>
          <w:tcPr>
            <w:tcW w:w="1143" w:type="dxa"/>
            <w:gridSpan w:val="2"/>
            <w:noWrap w:val="0"/>
            <w:vAlign w:val="center"/>
          </w:tcPr>
          <w:p w14:paraId="291BE94E">
            <w:pPr>
              <w:overflowPunct w:val="0"/>
              <w:topLinePunct/>
              <w:jc w:val="center"/>
              <w:rPr>
                <w:rFonts w:hint="eastAsia" w:ascii="仿宋_GB2312" w:hAnsi="仿宋_GB2312" w:eastAsia="仿宋_GB2312" w:cs="仿宋_GB2312"/>
                <w:sz w:val="24"/>
              </w:rPr>
            </w:pPr>
          </w:p>
        </w:tc>
        <w:tc>
          <w:tcPr>
            <w:tcW w:w="1136" w:type="dxa"/>
            <w:gridSpan w:val="4"/>
            <w:noWrap w:val="0"/>
            <w:vAlign w:val="center"/>
          </w:tcPr>
          <w:p w14:paraId="3145E6A6">
            <w:pPr>
              <w:overflowPunct w:val="0"/>
              <w:topLinePunct/>
              <w:jc w:val="center"/>
              <w:rPr>
                <w:rFonts w:hint="eastAsia" w:ascii="仿宋_GB2312" w:hAnsi="仿宋_GB2312" w:eastAsia="仿宋_GB2312" w:cs="仿宋_GB2312"/>
                <w:sz w:val="24"/>
              </w:rPr>
            </w:pPr>
          </w:p>
        </w:tc>
        <w:tc>
          <w:tcPr>
            <w:tcW w:w="3535" w:type="dxa"/>
            <w:gridSpan w:val="5"/>
            <w:noWrap w:val="0"/>
            <w:vAlign w:val="center"/>
          </w:tcPr>
          <w:p w14:paraId="00875585">
            <w:pPr>
              <w:overflowPunct w:val="0"/>
              <w:topLinePunct/>
              <w:rPr>
                <w:rFonts w:hint="eastAsia" w:ascii="仿宋_GB2312" w:hAnsi="仿宋_GB2312" w:eastAsia="仿宋_GB2312" w:cs="仿宋_GB2312"/>
                <w:sz w:val="24"/>
              </w:rPr>
            </w:pPr>
          </w:p>
        </w:tc>
      </w:tr>
      <w:tr w14:paraId="274A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8" w:type="dxa"/>
            <w:vMerge w:val="continue"/>
            <w:noWrap w:val="0"/>
            <w:vAlign w:val="top"/>
          </w:tcPr>
          <w:p w14:paraId="261CB3DB">
            <w:pPr>
              <w:overflowPunct w:val="0"/>
              <w:topLinePunct/>
              <w:rPr>
                <w:rFonts w:hint="eastAsia" w:ascii="仿宋_GB2312" w:hAnsi="仿宋_GB2312" w:eastAsia="仿宋_GB2312" w:cs="仿宋_GB2312"/>
                <w:sz w:val="24"/>
              </w:rPr>
            </w:pPr>
          </w:p>
        </w:tc>
        <w:tc>
          <w:tcPr>
            <w:tcW w:w="1136" w:type="dxa"/>
            <w:gridSpan w:val="2"/>
            <w:noWrap w:val="0"/>
            <w:vAlign w:val="center"/>
          </w:tcPr>
          <w:p w14:paraId="61954757">
            <w:pPr>
              <w:overflowPunct w:val="0"/>
              <w:topLinePunct/>
              <w:jc w:val="center"/>
              <w:rPr>
                <w:rFonts w:hint="eastAsia" w:ascii="仿宋_GB2312" w:hAnsi="仿宋_GB2312" w:eastAsia="仿宋_GB2312" w:cs="仿宋_GB2312"/>
                <w:sz w:val="24"/>
              </w:rPr>
            </w:pPr>
          </w:p>
        </w:tc>
        <w:tc>
          <w:tcPr>
            <w:tcW w:w="1134" w:type="dxa"/>
            <w:gridSpan w:val="2"/>
            <w:noWrap w:val="0"/>
            <w:vAlign w:val="center"/>
          </w:tcPr>
          <w:p w14:paraId="611A36E4">
            <w:pPr>
              <w:overflowPunct w:val="0"/>
              <w:topLinePunct/>
              <w:jc w:val="center"/>
              <w:rPr>
                <w:rFonts w:hint="eastAsia" w:ascii="仿宋_GB2312" w:hAnsi="仿宋_GB2312" w:eastAsia="仿宋_GB2312" w:cs="仿宋_GB2312"/>
                <w:sz w:val="24"/>
              </w:rPr>
            </w:pPr>
          </w:p>
        </w:tc>
        <w:tc>
          <w:tcPr>
            <w:tcW w:w="1143" w:type="dxa"/>
            <w:gridSpan w:val="2"/>
            <w:noWrap w:val="0"/>
            <w:vAlign w:val="center"/>
          </w:tcPr>
          <w:p w14:paraId="6471B3DF">
            <w:pPr>
              <w:overflowPunct w:val="0"/>
              <w:topLinePunct/>
              <w:jc w:val="center"/>
              <w:rPr>
                <w:rFonts w:hint="eastAsia" w:ascii="仿宋_GB2312" w:hAnsi="仿宋_GB2312" w:eastAsia="仿宋_GB2312" w:cs="仿宋_GB2312"/>
                <w:sz w:val="24"/>
              </w:rPr>
            </w:pPr>
          </w:p>
        </w:tc>
        <w:tc>
          <w:tcPr>
            <w:tcW w:w="1136" w:type="dxa"/>
            <w:gridSpan w:val="4"/>
            <w:noWrap w:val="0"/>
            <w:vAlign w:val="center"/>
          </w:tcPr>
          <w:p w14:paraId="7598E54D">
            <w:pPr>
              <w:overflowPunct w:val="0"/>
              <w:topLinePunct/>
              <w:jc w:val="center"/>
              <w:rPr>
                <w:rFonts w:hint="eastAsia" w:ascii="仿宋_GB2312" w:hAnsi="仿宋_GB2312" w:eastAsia="仿宋_GB2312" w:cs="仿宋_GB2312"/>
                <w:sz w:val="24"/>
              </w:rPr>
            </w:pPr>
          </w:p>
        </w:tc>
        <w:tc>
          <w:tcPr>
            <w:tcW w:w="3535" w:type="dxa"/>
            <w:gridSpan w:val="5"/>
            <w:noWrap w:val="0"/>
            <w:vAlign w:val="center"/>
          </w:tcPr>
          <w:p w14:paraId="6F9F082A">
            <w:pPr>
              <w:overflowPunct w:val="0"/>
              <w:topLinePunct/>
              <w:rPr>
                <w:rFonts w:hint="eastAsia" w:ascii="仿宋_GB2312" w:hAnsi="仿宋_GB2312" w:eastAsia="仿宋_GB2312" w:cs="仿宋_GB2312"/>
                <w:sz w:val="24"/>
              </w:rPr>
            </w:pPr>
          </w:p>
        </w:tc>
      </w:tr>
      <w:tr w14:paraId="6B2E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9062" w:type="dxa"/>
            <w:gridSpan w:val="16"/>
            <w:noWrap w:val="0"/>
            <w:vAlign w:val="center"/>
          </w:tcPr>
          <w:p w14:paraId="55500520">
            <w:pPr>
              <w:overflowPunct w:val="0"/>
              <w:topLinePunct/>
              <w:spacing w:line="400" w:lineRule="exact"/>
              <w:jc w:val="left"/>
              <w:rPr>
                <w:rFonts w:hint="eastAsia" w:ascii="仿宋_GB2312" w:hAnsi="仿宋_GB2312" w:eastAsia="仿宋_GB2312" w:cs="仿宋_GB2312"/>
                <w:b/>
                <w:color w:val="000000"/>
                <w:kern w:val="0"/>
                <w:sz w:val="24"/>
                <w:szCs w:val="28"/>
              </w:rPr>
            </w:pPr>
            <w:r>
              <w:rPr>
                <w:rFonts w:hint="eastAsia" w:ascii="仿宋_GB2312" w:hAnsi="仿宋_GB2312" w:eastAsia="仿宋_GB2312" w:cs="仿宋_GB2312"/>
                <w:b/>
                <w:color w:val="000000"/>
                <w:kern w:val="0"/>
                <w:sz w:val="24"/>
                <w:szCs w:val="28"/>
              </w:rPr>
              <w:t>本人承诺：本人确认自己符合拟</w:t>
            </w:r>
            <w:r>
              <w:rPr>
                <w:rFonts w:hint="eastAsia" w:ascii="仿宋_GB2312" w:hAnsi="仿宋_GB2312" w:eastAsia="仿宋_GB2312" w:cs="仿宋_GB2312"/>
                <w:b/>
                <w:color w:val="000000"/>
                <w:kern w:val="0"/>
                <w:sz w:val="24"/>
                <w:szCs w:val="28"/>
                <w:lang w:eastAsia="zh-CN"/>
              </w:rPr>
              <w:t>报考</w:t>
            </w:r>
            <w:r>
              <w:rPr>
                <w:rFonts w:hint="eastAsia" w:ascii="仿宋_GB2312" w:hAnsi="仿宋_GB2312" w:eastAsia="仿宋_GB2312" w:cs="仿宋_GB2312"/>
                <w:b/>
                <w:color w:val="000000"/>
                <w:kern w:val="0"/>
                <w:sz w:val="24"/>
                <w:szCs w:val="28"/>
              </w:rPr>
              <w:t>岗位所需的资格条件，表中所填写内容和提供的材料真实</w:t>
            </w:r>
            <w:r>
              <w:rPr>
                <w:rFonts w:hint="eastAsia" w:ascii="仿宋_GB2312" w:hAnsi="仿宋_GB2312" w:eastAsia="仿宋_GB2312" w:cs="仿宋_GB2312"/>
                <w:b/>
                <w:color w:val="000000"/>
                <w:kern w:val="0"/>
                <w:sz w:val="24"/>
                <w:szCs w:val="28"/>
                <w:lang w:eastAsia="zh-CN"/>
              </w:rPr>
              <w:t>、完整、</w:t>
            </w:r>
            <w:r>
              <w:rPr>
                <w:rFonts w:hint="eastAsia" w:ascii="仿宋_GB2312" w:hAnsi="仿宋_GB2312" w:eastAsia="仿宋_GB2312" w:cs="仿宋_GB2312"/>
                <w:b/>
                <w:color w:val="000000"/>
                <w:kern w:val="0"/>
                <w:sz w:val="24"/>
                <w:szCs w:val="28"/>
              </w:rPr>
              <w:t>有效。如弄虚作假，后果自负。</w:t>
            </w:r>
          </w:p>
          <w:p w14:paraId="23A709B7">
            <w:pPr>
              <w:overflowPunct w:val="0"/>
              <w:topLinePunct/>
              <w:spacing w:line="300" w:lineRule="exact"/>
              <w:jc w:val="left"/>
              <w:rPr>
                <w:rFonts w:hint="eastAsia" w:ascii="仿宋_GB2312" w:hAnsi="仿宋_GB2312" w:eastAsia="仿宋_GB2312" w:cs="仿宋_GB2312"/>
                <w:b/>
                <w:color w:val="000000"/>
                <w:kern w:val="0"/>
                <w:sz w:val="24"/>
                <w:szCs w:val="30"/>
              </w:rPr>
            </w:pPr>
          </w:p>
          <w:p w14:paraId="2EAD994B">
            <w:pPr>
              <w:wordWrap w:val="0"/>
              <w:overflowPunct w:val="0"/>
              <w:topLinePunct/>
              <w:spacing w:line="300" w:lineRule="exact"/>
              <w:ind w:firstLine="2650" w:firstLineChars="1100"/>
              <w:jc w:val="right"/>
              <w:rPr>
                <w:rFonts w:hint="eastAsia" w:ascii="仿宋_GB2312" w:hAnsi="仿宋_GB2312" w:eastAsia="仿宋_GB2312" w:cs="仿宋_GB2312"/>
                <w:b/>
                <w:color w:val="000000"/>
                <w:kern w:val="0"/>
                <w:sz w:val="24"/>
                <w:szCs w:val="30"/>
                <w:lang w:val="en-US" w:eastAsia="zh-CN"/>
              </w:rPr>
            </w:pPr>
            <w:r>
              <w:rPr>
                <w:rFonts w:hint="eastAsia" w:ascii="仿宋_GB2312" w:hAnsi="仿宋_GB2312" w:eastAsia="仿宋_GB2312" w:cs="仿宋_GB2312"/>
                <w:b/>
                <w:color w:val="000000"/>
                <w:kern w:val="0"/>
                <w:sz w:val="24"/>
                <w:szCs w:val="30"/>
              </w:rPr>
              <w:t>报考</w:t>
            </w:r>
            <w:r>
              <w:rPr>
                <w:rFonts w:hint="eastAsia" w:ascii="仿宋_GB2312" w:hAnsi="仿宋_GB2312" w:eastAsia="仿宋_GB2312" w:cs="仿宋_GB2312"/>
                <w:b/>
                <w:color w:val="000000"/>
                <w:kern w:val="0"/>
                <w:sz w:val="24"/>
                <w:szCs w:val="30"/>
                <w:lang w:val="en-US" w:eastAsia="zh-CN"/>
              </w:rPr>
              <w:t>者</w:t>
            </w:r>
            <w:r>
              <w:rPr>
                <w:rFonts w:hint="eastAsia" w:ascii="仿宋_GB2312" w:hAnsi="仿宋_GB2312" w:eastAsia="仿宋_GB2312" w:cs="仿宋_GB2312"/>
                <w:b/>
                <w:color w:val="000000"/>
                <w:kern w:val="0"/>
                <w:sz w:val="24"/>
                <w:szCs w:val="30"/>
                <w:lang w:eastAsia="zh-CN"/>
              </w:rPr>
              <w:t>签字</w:t>
            </w:r>
            <w:r>
              <w:rPr>
                <w:rFonts w:hint="eastAsia" w:ascii="仿宋_GB2312" w:hAnsi="仿宋_GB2312" w:eastAsia="仿宋_GB2312" w:cs="仿宋_GB2312"/>
                <w:b/>
                <w:color w:val="000000"/>
                <w:kern w:val="0"/>
                <w:sz w:val="24"/>
                <w:szCs w:val="30"/>
              </w:rPr>
              <w:t>：</w:t>
            </w:r>
            <w:r>
              <w:rPr>
                <w:rFonts w:hint="eastAsia" w:ascii="仿宋_GB2312" w:hAnsi="仿宋_GB2312" w:eastAsia="仿宋_GB2312" w:cs="仿宋_GB2312"/>
                <w:b/>
                <w:color w:val="000000"/>
                <w:kern w:val="0"/>
                <w:sz w:val="24"/>
                <w:szCs w:val="30"/>
                <w:lang w:val="en-US" w:eastAsia="zh-CN"/>
              </w:rPr>
              <w:t xml:space="preserve">                </w:t>
            </w:r>
          </w:p>
          <w:p w14:paraId="3683CDB5">
            <w:pPr>
              <w:overflowPunct w:val="0"/>
              <w:topLinePunct/>
              <w:spacing w:line="300" w:lineRule="exact"/>
              <w:ind w:firstLine="2650" w:firstLineChars="1100"/>
              <w:jc w:val="right"/>
              <w:rPr>
                <w:rFonts w:hint="eastAsia" w:ascii="仿宋_GB2312" w:hAnsi="仿宋_GB2312" w:eastAsia="仿宋_GB2312" w:cs="仿宋_GB2312"/>
                <w:b/>
                <w:color w:val="000000"/>
                <w:kern w:val="0"/>
                <w:sz w:val="24"/>
                <w:szCs w:val="30"/>
              </w:rPr>
            </w:pPr>
          </w:p>
          <w:p w14:paraId="1BAE7F09">
            <w:pPr>
              <w:overflowPunct w:val="0"/>
              <w:topLinePunct/>
              <w:spacing w:line="300" w:lineRule="exact"/>
              <w:ind w:firstLine="2650" w:firstLineChars="1100"/>
              <w:jc w:val="right"/>
              <w:rPr>
                <w:rFonts w:hint="eastAsia" w:ascii="仿宋_GB2312" w:hAnsi="仿宋_GB2312" w:eastAsia="仿宋_GB2312" w:cs="仿宋_GB2312"/>
                <w:b/>
                <w:bCs/>
                <w:sz w:val="24"/>
                <w:szCs w:val="30"/>
              </w:rPr>
            </w:pPr>
            <w:r>
              <w:rPr>
                <w:rFonts w:hint="eastAsia" w:ascii="仿宋_GB2312" w:hAnsi="仿宋_GB2312" w:eastAsia="仿宋_GB2312" w:cs="仿宋_GB2312"/>
                <w:b/>
                <w:color w:val="000000"/>
                <w:kern w:val="0"/>
                <w:sz w:val="24"/>
                <w:szCs w:val="30"/>
              </w:rPr>
              <w:t>年    月    日</w:t>
            </w:r>
            <w:r>
              <w:rPr>
                <w:rFonts w:hint="eastAsia" w:ascii="仿宋_GB2312" w:hAnsi="仿宋_GB2312" w:eastAsia="仿宋_GB2312" w:cs="仿宋_GB2312"/>
                <w:b/>
                <w:bCs/>
                <w:sz w:val="24"/>
                <w:szCs w:val="30"/>
              </w:rPr>
              <w:t xml:space="preserve">                               </w:t>
            </w:r>
          </w:p>
        </w:tc>
      </w:tr>
    </w:tbl>
    <w:p w14:paraId="16278DA7">
      <w:pPr>
        <w:rPr>
          <w:rFonts w:hint="eastAsia"/>
          <w:lang w:val="en-US" w:eastAsia="zh-CN"/>
        </w:rPr>
      </w:pPr>
      <w:r>
        <w:rPr>
          <w:rFonts w:hint="eastAsia"/>
          <w:lang w:eastAsia="zh-CN"/>
        </w:rPr>
        <w:t>注：本表尽量控制在</w:t>
      </w:r>
      <w:r>
        <w:rPr>
          <w:rFonts w:hint="eastAsia"/>
          <w:lang w:val="en-US" w:eastAsia="zh-CN"/>
        </w:rPr>
        <w:t>2页以内。</w:t>
      </w:r>
    </w:p>
    <w:p w14:paraId="5712E179">
      <w:pPr>
        <w:rPr>
          <w:rFonts w:hint="eastAsia"/>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62631514">
      <w:pPr>
        <w:spacing w:line="520" w:lineRule="exact"/>
        <w:jc w:val="both"/>
        <w:rPr>
          <w:rFonts w:hint="eastAsia" w:ascii="仿宋_GB2312" w:hAnsi="仿宋_GB2312" w:eastAsia="仿宋_GB2312" w:cs="仿宋_GB2312"/>
          <w:spacing w:val="-6"/>
          <w:sz w:val="36"/>
          <w:szCs w:val="36"/>
          <w:lang w:val="en-US" w:eastAsia="zh-CN"/>
        </w:rPr>
      </w:pPr>
      <w:r>
        <w:rPr>
          <w:rFonts w:hint="eastAsia" w:ascii="仿宋_GB2312" w:hAnsi="仿宋_GB2312" w:eastAsia="仿宋_GB2312" w:cs="仿宋_GB2312"/>
          <w:spacing w:val="-6"/>
          <w:sz w:val="36"/>
          <w:szCs w:val="36"/>
          <w:lang w:val="en-US" w:eastAsia="zh-CN"/>
        </w:rPr>
        <w:t>附件2</w:t>
      </w:r>
    </w:p>
    <w:p w14:paraId="2C969996">
      <w:pPr>
        <w:spacing w:line="520" w:lineRule="exact"/>
        <w:jc w:val="center"/>
        <w:rPr>
          <w:rFonts w:hint="eastAsia" w:ascii="方正小标宋_GBK" w:hAnsi="方正小标宋_GBK" w:eastAsia="方正小标宋_GBK" w:cs="方正小标宋_GBK"/>
          <w:spacing w:val="-6"/>
          <w:sz w:val="36"/>
          <w:szCs w:val="36"/>
        </w:rPr>
      </w:pPr>
      <w:r>
        <w:rPr>
          <w:rFonts w:hint="eastAsia" w:ascii="方正小标宋_GBK" w:hAnsi="方正小标宋_GBK" w:eastAsia="方正小标宋_GBK" w:cs="方正小标宋_GBK"/>
          <w:spacing w:val="-6"/>
          <w:sz w:val="36"/>
          <w:szCs w:val="36"/>
        </w:rPr>
        <w:t>四川省教育融媒体中心（四川教育电视台）</w:t>
      </w:r>
    </w:p>
    <w:p w14:paraId="684E0983">
      <w:pPr>
        <w:spacing w:line="520" w:lineRule="exact"/>
        <w:jc w:val="center"/>
        <w:rPr>
          <w:rFonts w:hint="eastAsia" w:ascii="方正小标宋_GBK" w:hAnsi="方正小标宋_GBK" w:eastAsia="方正小标宋_GBK" w:cs="方正小标宋_GBK"/>
          <w:spacing w:val="-6"/>
          <w:sz w:val="36"/>
          <w:szCs w:val="36"/>
        </w:rPr>
      </w:pPr>
      <w:r>
        <w:rPr>
          <w:rFonts w:hint="eastAsia" w:ascii="方正小标宋_GBK" w:hAnsi="方正小标宋_GBK" w:eastAsia="方正小标宋_GBK" w:cs="方正小标宋_GBK"/>
          <w:spacing w:val="-6"/>
          <w:sz w:val="36"/>
          <w:szCs w:val="36"/>
        </w:rPr>
        <w:t>202</w:t>
      </w:r>
      <w:r>
        <w:rPr>
          <w:rFonts w:hint="eastAsia" w:ascii="方正小标宋_GBK" w:hAnsi="方正小标宋_GBK" w:eastAsia="方正小标宋_GBK" w:cs="方正小标宋_GBK"/>
          <w:spacing w:val="-6"/>
          <w:sz w:val="36"/>
          <w:szCs w:val="36"/>
          <w:lang w:val="en-US" w:eastAsia="zh-CN"/>
        </w:rPr>
        <w:t>5</w:t>
      </w:r>
      <w:r>
        <w:rPr>
          <w:rFonts w:hint="eastAsia" w:ascii="方正小标宋_GBK" w:hAnsi="方正小标宋_GBK" w:eastAsia="方正小标宋_GBK" w:cs="方正小标宋_GBK"/>
          <w:spacing w:val="-6"/>
          <w:sz w:val="36"/>
          <w:szCs w:val="36"/>
        </w:rPr>
        <w:t>年公开招聘编外工作人员岗位和条件一览表</w:t>
      </w:r>
    </w:p>
    <w:p w14:paraId="328988A8">
      <w:pPr>
        <w:spacing w:line="240" w:lineRule="exact"/>
        <w:jc w:val="center"/>
        <w:rPr>
          <w:rFonts w:ascii="黑体" w:eastAsia="黑体" w:cs="宋体"/>
          <w:sz w:val="28"/>
          <w:szCs w:val="28"/>
        </w:rPr>
      </w:pPr>
    </w:p>
    <w:tbl>
      <w:tblPr>
        <w:tblStyle w:val="5"/>
        <w:tblW w:w="52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650"/>
        <w:gridCol w:w="810"/>
        <w:gridCol w:w="945"/>
        <w:gridCol w:w="1245"/>
        <w:gridCol w:w="2655"/>
        <w:gridCol w:w="1785"/>
        <w:gridCol w:w="642"/>
      </w:tblGrid>
      <w:tr w14:paraId="6212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319" w:type="pct"/>
            <w:gridSpan w:val="3"/>
            <w:noWrap w:val="0"/>
            <w:vAlign w:val="center"/>
          </w:tcPr>
          <w:p w14:paraId="3D435EC1">
            <w:pPr>
              <w:jc w:val="center"/>
              <w:rPr>
                <w:rFonts w:ascii="宋体" w:hAnsi="宋体" w:eastAsia="宋体" w:cs="宋体"/>
                <w:b/>
                <w:bCs/>
                <w:sz w:val="24"/>
                <w:szCs w:val="24"/>
              </w:rPr>
            </w:pPr>
            <w:r>
              <w:rPr>
                <w:rFonts w:hint="eastAsia" w:ascii="宋体" w:hAnsi="宋体" w:eastAsia="宋体" w:cs="宋体"/>
                <w:b/>
                <w:bCs/>
                <w:sz w:val="24"/>
                <w:szCs w:val="24"/>
              </w:rPr>
              <w:t>招聘岗位</w:t>
            </w:r>
          </w:p>
        </w:tc>
        <w:tc>
          <w:tcPr>
            <w:tcW w:w="2443" w:type="pct"/>
            <w:gridSpan w:val="4"/>
            <w:noWrap w:val="0"/>
            <w:vAlign w:val="center"/>
          </w:tcPr>
          <w:p w14:paraId="3B9FCD7A">
            <w:pPr>
              <w:ind w:left="291"/>
              <w:jc w:val="center"/>
              <w:rPr>
                <w:rFonts w:ascii="宋体" w:hAnsi="宋体" w:eastAsia="宋体" w:cs="宋体"/>
                <w:b/>
                <w:bCs/>
                <w:sz w:val="24"/>
                <w:szCs w:val="24"/>
              </w:rPr>
            </w:pPr>
            <w:r>
              <w:rPr>
                <w:rFonts w:hint="eastAsia" w:ascii="宋体" w:hAnsi="宋体" w:eastAsia="宋体" w:cs="宋体"/>
                <w:b/>
                <w:bCs/>
                <w:sz w:val="24"/>
                <w:szCs w:val="24"/>
              </w:rPr>
              <w:t>条件要求</w:t>
            </w:r>
          </w:p>
        </w:tc>
        <w:tc>
          <w:tcPr>
            <w:tcW w:w="236" w:type="pct"/>
            <w:vMerge w:val="restart"/>
            <w:noWrap w:val="0"/>
            <w:vAlign w:val="center"/>
          </w:tcPr>
          <w:p w14:paraId="1A715637">
            <w:pPr>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18C2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307" w:type="pct"/>
            <w:noWrap w:val="0"/>
            <w:tcMar>
              <w:left w:w="28" w:type="dxa"/>
              <w:right w:w="28" w:type="dxa"/>
            </w:tcMar>
            <w:vAlign w:val="center"/>
          </w:tcPr>
          <w:p w14:paraId="13CC08B9">
            <w:pPr>
              <w:jc w:val="center"/>
              <w:rPr>
                <w:rFonts w:hint="eastAsia" w:ascii="宋体" w:hAnsi="宋体" w:eastAsia="宋体" w:cs="宋体"/>
                <w:b/>
                <w:bCs/>
                <w:sz w:val="24"/>
                <w:szCs w:val="24"/>
              </w:rPr>
            </w:pPr>
            <w:r>
              <w:rPr>
                <w:rFonts w:hint="eastAsia" w:ascii="宋体" w:hAnsi="宋体" w:eastAsia="宋体" w:cs="宋体"/>
                <w:b/>
                <w:bCs/>
                <w:sz w:val="24"/>
                <w:szCs w:val="24"/>
              </w:rPr>
              <w:t>岗位</w:t>
            </w:r>
          </w:p>
          <w:p w14:paraId="427CB7C6">
            <w:pPr>
              <w:jc w:val="center"/>
              <w:rPr>
                <w:rFonts w:ascii="宋体" w:hAnsi="宋体" w:eastAsia="宋体" w:cs="宋体"/>
                <w:b/>
                <w:bCs/>
                <w:kern w:val="2"/>
                <w:sz w:val="22"/>
                <w:szCs w:val="22"/>
              </w:rPr>
            </w:pPr>
            <w:r>
              <w:rPr>
                <w:rFonts w:hint="eastAsia" w:ascii="宋体" w:hAnsi="宋体" w:eastAsia="宋体" w:cs="宋体"/>
                <w:b/>
                <w:bCs/>
                <w:sz w:val="24"/>
                <w:szCs w:val="24"/>
              </w:rPr>
              <w:t>名称</w:t>
            </w:r>
          </w:p>
        </w:tc>
        <w:tc>
          <w:tcPr>
            <w:tcW w:w="1713" w:type="pct"/>
            <w:noWrap w:val="0"/>
            <w:vAlign w:val="center"/>
          </w:tcPr>
          <w:p w14:paraId="1C96D178">
            <w:pPr>
              <w:jc w:val="center"/>
              <w:rPr>
                <w:rFonts w:ascii="宋体" w:hAnsi="宋体" w:eastAsia="宋体" w:cs="宋体"/>
                <w:b/>
                <w:bCs/>
                <w:kern w:val="2"/>
                <w:sz w:val="24"/>
                <w:szCs w:val="24"/>
              </w:rPr>
            </w:pPr>
            <w:r>
              <w:rPr>
                <w:rFonts w:hint="eastAsia" w:ascii="宋体" w:hAnsi="宋体" w:eastAsia="宋体" w:cs="宋体"/>
                <w:b/>
                <w:bCs/>
                <w:sz w:val="24"/>
                <w:szCs w:val="24"/>
              </w:rPr>
              <w:t>岗位职责</w:t>
            </w:r>
          </w:p>
        </w:tc>
        <w:tc>
          <w:tcPr>
            <w:tcW w:w="298" w:type="pct"/>
            <w:noWrap w:val="0"/>
            <w:vAlign w:val="center"/>
          </w:tcPr>
          <w:p w14:paraId="6D05C3BD">
            <w:pPr>
              <w:jc w:val="center"/>
              <w:rPr>
                <w:rFonts w:hint="eastAsia" w:ascii="宋体" w:hAnsi="宋体" w:eastAsia="宋体" w:cs="宋体"/>
                <w:b/>
                <w:bCs/>
                <w:sz w:val="24"/>
                <w:szCs w:val="24"/>
              </w:rPr>
            </w:pPr>
            <w:r>
              <w:rPr>
                <w:rFonts w:hint="eastAsia" w:ascii="宋体" w:hAnsi="宋体" w:eastAsia="宋体" w:cs="宋体"/>
                <w:b/>
                <w:bCs/>
                <w:sz w:val="24"/>
                <w:szCs w:val="24"/>
              </w:rPr>
              <w:t>岗位</w:t>
            </w:r>
          </w:p>
          <w:p w14:paraId="5C68A637">
            <w:pPr>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348" w:type="pct"/>
            <w:noWrap w:val="0"/>
            <w:vAlign w:val="center"/>
          </w:tcPr>
          <w:p w14:paraId="0C58FC15">
            <w:pPr>
              <w:jc w:val="center"/>
              <w:rPr>
                <w:rFonts w:ascii="宋体" w:hAnsi="宋体" w:eastAsia="宋体" w:cs="宋体"/>
                <w:b/>
                <w:bCs/>
                <w:sz w:val="24"/>
                <w:szCs w:val="24"/>
              </w:rPr>
            </w:pPr>
            <w:r>
              <w:rPr>
                <w:rFonts w:hint="eastAsia" w:ascii="宋体" w:hAnsi="宋体" w:eastAsia="宋体" w:cs="宋体"/>
                <w:b/>
                <w:bCs/>
                <w:sz w:val="24"/>
                <w:szCs w:val="24"/>
              </w:rPr>
              <w:t>年龄</w:t>
            </w:r>
          </w:p>
        </w:tc>
        <w:tc>
          <w:tcPr>
            <w:tcW w:w="458" w:type="pct"/>
            <w:noWrap w:val="0"/>
            <w:vAlign w:val="center"/>
          </w:tcPr>
          <w:p w14:paraId="13F21EFC">
            <w:pPr>
              <w:jc w:val="center"/>
              <w:rPr>
                <w:rFonts w:ascii="宋体" w:hAnsi="宋体" w:eastAsia="宋体" w:cs="宋体"/>
                <w:b/>
                <w:bCs/>
                <w:sz w:val="24"/>
                <w:szCs w:val="24"/>
              </w:rPr>
            </w:pPr>
            <w:r>
              <w:rPr>
                <w:rFonts w:hint="eastAsia" w:ascii="宋体" w:hAnsi="宋体" w:eastAsia="宋体" w:cs="宋体"/>
                <w:b/>
                <w:bCs/>
                <w:sz w:val="24"/>
                <w:szCs w:val="24"/>
              </w:rPr>
              <w:t>学历</w:t>
            </w:r>
          </w:p>
          <w:p w14:paraId="52BC6D22">
            <w:pPr>
              <w:jc w:val="center"/>
              <w:rPr>
                <w:rFonts w:ascii="宋体" w:hAnsi="宋体" w:eastAsia="宋体" w:cs="宋体"/>
                <w:b/>
                <w:bCs/>
                <w:sz w:val="24"/>
                <w:szCs w:val="24"/>
              </w:rPr>
            </w:pPr>
            <w:r>
              <w:rPr>
                <w:rFonts w:hint="eastAsia" w:ascii="宋体" w:hAnsi="宋体" w:eastAsia="宋体" w:cs="宋体"/>
                <w:b/>
                <w:bCs/>
                <w:sz w:val="24"/>
                <w:szCs w:val="24"/>
              </w:rPr>
              <w:t>或学位</w:t>
            </w:r>
          </w:p>
        </w:tc>
        <w:tc>
          <w:tcPr>
            <w:tcW w:w="978" w:type="pct"/>
            <w:noWrap w:val="0"/>
            <w:vAlign w:val="center"/>
          </w:tcPr>
          <w:p w14:paraId="51C00AB5">
            <w:pPr>
              <w:jc w:val="center"/>
              <w:rPr>
                <w:rFonts w:ascii="宋体" w:hAnsi="宋体" w:eastAsia="宋体" w:cs="宋体"/>
                <w:b/>
                <w:bCs/>
                <w:sz w:val="24"/>
                <w:szCs w:val="24"/>
              </w:rPr>
            </w:pPr>
            <w:r>
              <w:rPr>
                <w:rFonts w:hint="eastAsia" w:ascii="宋体" w:hAnsi="宋体" w:eastAsia="宋体" w:cs="宋体"/>
                <w:b/>
                <w:bCs/>
                <w:sz w:val="24"/>
                <w:szCs w:val="24"/>
              </w:rPr>
              <w:t>专业条件</w:t>
            </w:r>
          </w:p>
        </w:tc>
        <w:tc>
          <w:tcPr>
            <w:tcW w:w="657" w:type="pct"/>
            <w:noWrap w:val="0"/>
            <w:vAlign w:val="center"/>
          </w:tcPr>
          <w:p w14:paraId="4BA89A64">
            <w:pPr>
              <w:jc w:val="center"/>
              <w:rPr>
                <w:rFonts w:ascii="宋体" w:hAnsi="宋体" w:eastAsia="宋体" w:cs="宋体"/>
                <w:b/>
                <w:bCs/>
                <w:sz w:val="24"/>
                <w:szCs w:val="24"/>
              </w:rPr>
            </w:pPr>
            <w:r>
              <w:rPr>
                <w:rFonts w:hint="eastAsia" w:ascii="宋体" w:hAnsi="宋体" w:eastAsia="宋体" w:cs="宋体"/>
                <w:b/>
                <w:bCs/>
                <w:sz w:val="24"/>
                <w:szCs w:val="24"/>
              </w:rPr>
              <w:t>其他</w:t>
            </w:r>
          </w:p>
        </w:tc>
        <w:tc>
          <w:tcPr>
            <w:tcW w:w="236" w:type="pct"/>
            <w:vMerge w:val="continue"/>
            <w:noWrap w:val="0"/>
            <w:vAlign w:val="center"/>
          </w:tcPr>
          <w:p w14:paraId="7140E5D5">
            <w:pPr>
              <w:rPr>
                <w:rFonts w:ascii="宋体" w:hAnsi="宋体" w:eastAsia="宋体" w:cs="宋体"/>
              </w:rPr>
            </w:pPr>
          </w:p>
        </w:tc>
      </w:tr>
      <w:tr w14:paraId="6390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5" w:hRule="atLeast"/>
          <w:jc w:val="center"/>
        </w:trPr>
        <w:tc>
          <w:tcPr>
            <w:tcW w:w="307" w:type="pct"/>
            <w:noWrap w:val="0"/>
            <w:tcMar>
              <w:left w:w="28" w:type="dxa"/>
              <w:right w:w="28" w:type="dxa"/>
            </w:tcMar>
            <w:vAlign w:val="center"/>
          </w:tcPr>
          <w:p w14:paraId="399AAD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color w:val="auto"/>
                <w:sz w:val="28"/>
                <w:szCs w:val="28"/>
                <w:lang w:val="en-US" w:eastAsia="zh-CN"/>
              </w:rPr>
              <w:t>新媒体编辑</w:t>
            </w:r>
          </w:p>
        </w:tc>
        <w:tc>
          <w:tcPr>
            <w:tcW w:w="1713" w:type="pct"/>
            <w:noWrap w:val="0"/>
            <w:vAlign w:val="center"/>
          </w:tcPr>
          <w:p w14:paraId="762A9FC8">
            <w:pPr>
              <w:keepNext w:val="0"/>
              <w:keepLines w:val="0"/>
              <w:pageBreakBefore w:val="0"/>
              <w:widowControl/>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1.负责</w:t>
            </w:r>
            <w:r>
              <w:rPr>
                <w:rFonts w:hint="eastAsia" w:ascii="仿宋_GB2312" w:hAnsi="仿宋_GB2312" w:eastAsia="仿宋_GB2312" w:cs="仿宋_GB2312"/>
                <w:color w:val="auto"/>
                <w:sz w:val="28"/>
                <w:szCs w:val="28"/>
                <w:lang w:val="en-US" w:eastAsia="zh-CN"/>
              </w:rPr>
              <w:t>四川省教育厅政务新媒体平台的内容</w:t>
            </w:r>
            <w:r>
              <w:rPr>
                <w:rFonts w:hint="eastAsia" w:ascii="仿宋_GB2312" w:hAnsi="仿宋_GB2312" w:eastAsia="仿宋_GB2312" w:cs="仿宋_GB2312"/>
                <w:color w:val="auto"/>
                <w:sz w:val="28"/>
                <w:szCs w:val="28"/>
              </w:rPr>
              <w:t>编辑</w:t>
            </w:r>
            <w:r>
              <w:rPr>
                <w:rFonts w:hint="eastAsia" w:ascii="仿宋_GB2312" w:hAnsi="仿宋_GB2312" w:eastAsia="仿宋_GB2312" w:cs="仿宋_GB2312"/>
                <w:color w:val="auto"/>
                <w:sz w:val="28"/>
                <w:szCs w:val="28"/>
                <w:lang w:val="en-US" w:eastAsia="zh-CN"/>
              </w:rPr>
              <w:t>、排版</w:t>
            </w:r>
            <w:r>
              <w:rPr>
                <w:rFonts w:hint="eastAsia" w:ascii="仿宋_GB2312" w:hAnsi="仿宋_GB2312" w:eastAsia="仿宋_GB2312" w:cs="仿宋_GB2312"/>
                <w:color w:val="auto"/>
                <w:sz w:val="28"/>
                <w:szCs w:val="28"/>
              </w:rPr>
              <w:t>及发布</w:t>
            </w:r>
            <w:r>
              <w:rPr>
                <w:rFonts w:hint="eastAsia" w:ascii="仿宋_GB2312" w:hAnsi="仿宋_GB2312" w:eastAsia="仿宋_GB2312" w:cs="仿宋_GB2312"/>
                <w:color w:val="auto"/>
                <w:sz w:val="28"/>
                <w:szCs w:val="28"/>
                <w:lang w:val="en-US" w:eastAsia="zh-CN"/>
              </w:rPr>
              <w:t>工作</w:t>
            </w:r>
            <w:r>
              <w:rPr>
                <w:rFonts w:hint="eastAsia" w:ascii="仿宋_GB2312" w:hAnsi="仿宋_GB2312" w:cs="仿宋_GB2312"/>
                <w:color w:val="auto"/>
                <w:sz w:val="28"/>
                <w:szCs w:val="28"/>
                <w:lang w:val="en-US" w:eastAsia="zh-CN"/>
              </w:rPr>
              <w:t>；</w:t>
            </w:r>
          </w:p>
          <w:p w14:paraId="36899E9D">
            <w:pPr>
              <w:keepNext w:val="0"/>
              <w:keepLines w:val="0"/>
              <w:pageBreakBefore w:val="0"/>
              <w:widowControl/>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2.负责</w:t>
            </w:r>
            <w:r>
              <w:rPr>
                <w:rFonts w:hint="eastAsia" w:ascii="仿宋_GB2312" w:hAnsi="仿宋_GB2312" w:eastAsia="仿宋_GB2312" w:cs="仿宋_GB2312"/>
                <w:color w:val="auto"/>
                <w:sz w:val="28"/>
                <w:szCs w:val="28"/>
                <w:lang w:val="en-US" w:eastAsia="zh-CN"/>
              </w:rPr>
              <w:t>教育类客户端</w:t>
            </w:r>
            <w:r>
              <w:rPr>
                <w:rFonts w:hint="eastAsia" w:ascii="仿宋_GB2312" w:hAnsi="仿宋_GB2312" w:eastAsia="仿宋_GB2312" w:cs="仿宋_GB2312"/>
                <w:color w:val="auto"/>
                <w:sz w:val="28"/>
                <w:szCs w:val="28"/>
              </w:rPr>
              <w:t>平台内容</w:t>
            </w:r>
            <w:r>
              <w:rPr>
                <w:rFonts w:hint="eastAsia" w:ascii="仿宋_GB2312" w:hAnsi="仿宋_GB2312" w:eastAsia="仿宋_GB2312" w:cs="仿宋_GB2312"/>
                <w:color w:val="auto"/>
                <w:sz w:val="28"/>
                <w:szCs w:val="28"/>
                <w:lang w:val="en-US" w:eastAsia="zh-CN"/>
              </w:rPr>
              <w:t>的编辑、校对、</w:t>
            </w:r>
            <w:r>
              <w:rPr>
                <w:rFonts w:hint="eastAsia" w:ascii="仿宋_GB2312" w:hAnsi="仿宋_GB2312" w:eastAsia="仿宋_GB2312" w:cs="仿宋_GB2312"/>
                <w:color w:val="auto"/>
                <w:sz w:val="28"/>
                <w:szCs w:val="28"/>
              </w:rPr>
              <w:t>发布</w:t>
            </w:r>
            <w:r>
              <w:rPr>
                <w:rFonts w:hint="eastAsia" w:ascii="仿宋_GB2312" w:hAnsi="仿宋_GB2312" w:eastAsia="仿宋_GB2312" w:cs="仿宋_GB2312"/>
                <w:color w:val="auto"/>
                <w:sz w:val="28"/>
                <w:szCs w:val="28"/>
                <w:lang w:val="en-US" w:eastAsia="zh-CN"/>
              </w:rPr>
              <w:t>工作</w:t>
            </w:r>
            <w:r>
              <w:rPr>
                <w:rFonts w:hint="eastAsia" w:ascii="仿宋_GB2312" w:hAnsi="仿宋_GB2312" w:cs="仿宋_GB2312"/>
                <w:color w:val="auto"/>
                <w:sz w:val="28"/>
                <w:szCs w:val="28"/>
                <w:lang w:val="en-US" w:eastAsia="zh-CN"/>
              </w:rPr>
              <w:t>；</w:t>
            </w:r>
          </w:p>
          <w:p w14:paraId="338BAB8E">
            <w:pPr>
              <w:keepNext w:val="0"/>
              <w:keepLines w:val="0"/>
              <w:pageBreakBefore w:val="0"/>
              <w:widowControl/>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3.独立</w:t>
            </w:r>
            <w:r>
              <w:rPr>
                <w:rFonts w:hint="eastAsia" w:ascii="仿宋_GB2312" w:hAnsi="仿宋_GB2312" w:eastAsia="仿宋_GB2312" w:cs="仿宋_GB2312"/>
                <w:color w:val="auto"/>
                <w:sz w:val="28"/>
                <w:szCs w:val="28"/>
                <w:lang w:val="en-US" w:eastAsia="zh-CN"/>
              </w:rPr>
              <w:t>完成新媒体</w:t>
            </w:r>
            <w:r>
              <w:rPr>
                <w:rFonts w:hint="eastAsia" w:ascii="仿宋_GB2312" w:hAnsi="仿宋_GB2312" w:eastAsia="仿宋_GB2312" w:cs="仿宋_GB2312"/>
                <w:color w:val="auto"/>
                <w:sz w:val="28"/>
                <w:szCs w:val="28"/>
              </w:rPr>
              <w:t>选题策划，每月完成核定的发稿量</w:t>
            </w:r>
            <w:r>
              <w:rPr>
                <w:rFonts w:hint="eastAsia" w:ascii="仿宋_GB2312" w:hAnsi="仿宋_GB2312" w:cs="仿宋_GB2312"/>
                <w:color w:val="auto"/>
                <w:sz w:val="28"/>
                <w:szCs w:val="28"/>
                <w:lang w:eastAsia="zh-CN"/>
              </w:rPr>
              <w:t>；</w:t>
            </w:r>
          </w:p>
          <w:p w14:paraId="7154A215">
            <w:pPr>
              <w:keepNext w:val="0"/>
              <w:keepLines w:val="0"/>
              <w:pageBreakBefore w:val="0"/>
              <w:widowControl/>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执行中心与其他单位开展的新媒体活动及</w:t>
            </w:r>
            <w:r>
              <w:rPr>
                <w:rFonts w:hint="eastAsia" w:ascii="仿宋_GB2312" w:hAnsi="仿宋_GB2312" w:cs="仿宋_GB2312"/>
                <w:color w:val="auto"/>
                <w:sz w:val="28"/>
                <w:szCs w:val="28"/>
                <w:lang w:val="en-US" w:eastAsia="zh-CN"/>
              </w:rPr>
              <w:t>进行内容共创。</w:t>
            </w:r>
          </w:p>
          <w:p w14:paraId="7553E9EE">
            <w:pPr>
              <w:keepNext w:val="0"/>
              <w:keepLines w:val="0"/>
              <w:pageBreakBefore w:val="0"/>
              <w:widowControl/>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及时完成</w:t>
            </w:r>
            <w:r>
              <w:rPr>
                <w:rFonts w:hint="eastAsia" w:ascii="仿宋_GB2312" w:hAnsi="仿宋_GB2312" w:eastAsia="仿宋_GB2312" w:cs="仿宋_GB2312"/>
                <w:color w:val="auto"/>
                <w:sz w:val="28"/>
                <w:szCs w:val="28"/>
                <w:lang w:val="en-US" w:eastAsia="zh-CN"/>
              </w:rPr>
              <w:t>中心</w:t>
            </w:r>
            <w:r>
              <w:rPr>
                <w:rFonts w:hint="eastAsia" w:ascii="仿宋_GB2312" w:hAnsi="仿宋_GB2312" w:eastAsia="仿宋_GB2312" w:cs="仿宋_GB2312"/>
                <w:color w:val="auto"/>
                <w:sz w:val="28"/>
                <w:szCs w:val="28"/>
              </w:rPr>
              <w:t>交办的其他工作。</w:t>
            </w:r>
          </w:p>
        </w:tc>
        <w:tc>
          <w:tcPr>
            <w:tcW w:w="298" w:type="pct"/>
            <w:noWrap w:val="0"/>
            <w:vAlign w:val="center"/>
          </w:tcPr>
          <w:p w14:paraId="57440C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348" w:type="pct"/>
            <w:noWrap w:val="0"/>
            <w:vAlign w:val="center"/>
          </w:tcPr>
          <w:p w14:paraId="14C140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rPr>
              <w:t>19</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年1月1日及以后出生</w:t>
            </w:r>
          </w:p>
        </w:tc>
        <w:tc>
          <w:tcPr>
            <w:tcW w:w="458" w:type="pct"/>
            <w:noWrap w:val="0"/>
            <w:vAlign w:val="center"/>
          </w:tcPr>
          <w:p w14:paraId="264257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rPr>
              <w:t>研究生及以上学历</w:t>
            </w:r>
          </w:p>
        </w:tc>
        <w:tc>
          <w:tcPr>
            <w:tcW w:w="978" w:type="pct"/>
            <w:noWrap w:val="0"/>
            <w:vAlign w:val="center"/>
          </w:tcPr>
          <w:p w14:paraId="2E183E7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1E66856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教育学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中国语言文学、新闻传播学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政治学、马克思主义理论、中共党史党建学；</w:t>
            </w:r>
            <w:r>
              <w:rPr>
                <w:rFonts w:hint="eastAsia" w:ascii="仿宋_GB2312" w:hAnsi="仿宋_GB2312" w:eastAsia="仿宋_GB2312" w:cs="仿宋_GB2312"/>
                <w:color w:val="auto"/>
                <w:sz w:val="28"/>
                <w:szCs w:val="28"/>
              </w:rPr>
              <w:t>马克思主义哲学</w:t>
            </w:r>
            <w:r>
              <w:rPr>
                <w:rFonts w:hint="eastAsia" w:ascii="仿宋_GB2312" w:hAnsi="仿宋_GB2312" w:eastAsia="仿宋_GB2312" w:cs="仿宋_GB2312"/>
                <w:color w:val="auto"/>
                <w:sz w:val="28"/>
                <w:szCs w:val="28"/>
                <w:lang w:val="en-US" w:eastAsia="zh-CN"/>
              </w:rPr>
              <w:t>专业；</w:t>
            </w:r>
            <w:r>
              <w:rPr>
                <w:rFonts w:hint="eastAsia" w:ascii="仿宋_GB2312" w:hAnsi="仿宋_GB2312" w:eastAsia="仿宋_GB2312" w:cs="仿宋_GB2312"/>
                <w:color w:val="auto"/>
                <w:sz w:val="28"/>
                <w:szCs w:val="28"/>
              </w:rPr>
              <w:t>新闻与传播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出版（专业学位类别）</w:t>
            </w:r>
          </w:p>
          <w:p w14:paraId="6071152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p>
        </w:tc>
        <w:tc>
          <w:tcPr>
            <w:tcW w:w="657" w:type="pct"/>
            <w:noWrap w:val="0"/>
            <w:vAlign w:val="center"/>
          </w:tcPr>
          <w:p w14:paraId="126A670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lang w:val="en-US" w:eastAsia="zh-CN"/>
              </w:rPr>
              <w:t>具有新闻、出版初级及以上职称者可不受专业条件限制</w:t>
            </w:r>
          </w:p>
        </w:tc>
        <w:tc>
          <w:tcPr>
            <w:tcW w:w="236" w:type="pct"/>
            <w:noWrap w:val="0"/>
            <w:vAlign w:val="center"/>
          </w:tcPr>
          <w:p w14:paraId="57BC93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楷体" w:hAnsi="楷体" w:eastAsia="楷体" w:cs="楷体"/>
                <w:sz w:val="24"/>
                <w:szCs w:val="24"/>
              </w:rPr>
            </w:pPr>
          </w:p>
        </w:tc>
      </w:tr>
    </w:tbl>
    <w:p w14:paraId="5DA286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DF7DAC-19F6-43D8-B980-AC06942557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674CE85F-BF2F-4911-AF8E-EA803BAE25FE}"/>
  </w:font>
  <w:font w:name="仿宋_GB2312">
    <w:panose1 w:val="02010609030101010101"/>
    <w:charset w:val="86"/>
    <w:family w:val="auto"/>
    <w:pitch w:val="default"/>
    <w:sig w:usb0="00000001" w:usb1="080E0000" w:usb2="00000000" w:usb3="00000000" w:csb0="00040000" w:csb1="00000000"/>
    <w:embedRegular r:id="rId3" w:fontKey="{383A4058-73D4-4F98-8E60-53B5AFE1A959}"/>
  </w:font>
  <w:font w:name="方正小标宋简体">
    <w:panose1 w:val="03000509000000000000"/>
    <w:charset w:val="86"/>
    <w:family w:val="auto"/>
    <w:pitch w:val="default"/>
    <w:sig w:usb0="00000001" w:usb1="080E0000" w:usb2="00000000" w:usb3="00000000" w:csb0="00040000" w:csb1="00000000"/>
    <w:embedRegular r:id="rId4" w:fontKey="{D1241D9B-CAF4-4403-B247-44EFA4DA1391}"/>
  </w:font>
  <w:font w:name="楷体">
    <w:panose1 w:val="02010609060101010101"/>
    <w:charset w:val="86"/>
    <w:family w:val="auto"/>
    <w:pitch w:val="default"/>
    <w:sig w:usb0="800002BF" w:usb1="38CF7CFA" w:usb2="00000016" w:usb3="00000000" w:csb0="00040001" w:csb1="00000000"/>
    <w:embedRegular r:id="rId5" w:fontKey="{98356601-B1AB-4B88-9DA4-C2A79FA7AF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362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B8429">
                          <w:pPr>
                            <w:pStyle w:val="2"/>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2S/1o9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jd3zKwvMlzhiNDtlUg&#10;q1L+H1D9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S/1o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C1B8429">
                    <w:pPr>
                      <w:pStyle w:val="2"/>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A32A5"/>
    <w:rsid w:val="01002ADB"/>
    <w:rsid w:val="019E4E5A"/>
    <w:rsid w:val="021F6E46"/>
    <w:rsid w:val="022B099C"/>
    <w:rsid w:val="05E43607"/>
    <w:rsid w:val="079C1EB4"/>
    <w:rsid w:val="0ECF0DC1"/>
    <w:rsid w:val="124949E7"/>
    <w:rsid w:val="154C3C68"/>
    <w:rsid w:val="169E79F7"/>
    <w:rsid w:val="200F54C2"/>
    <w:rsid w:val="20191E9C"/>
    <w:rsid w:val="27005B64"/>
    <w:rsid w:val="27E64767"/>
    <w:rsid w:val="2907571B"/>
    <w:rsid w:val="2C291B1D"/>
    <w:rsid w:val="2D4A7B39"/>
    <w:rsid w:val="2F25260C"/>
    <w:rsid w:val="2F2D326E"/>
    <w:rsid w:val="345309D9"/>
    <w:rsid w:val="35E64B47"/>
    <w:rsid w:val="36630477"/>
    <w:rsid w:val="3B3A32A5"/>
    <w:rsid w:val="404B5C4A"/>
    <w:rsid w:val="420561E0"/>
    <w:rsid w:val="458710D4"/>
    <w:rsid w:val="4B0819BC"/>
    <w:rsid w:val="4BC32090"/>
    <w:rsid w:val="4C75097F"/>
    <w:rsid w:val="4D8F5115"/>
    <w:rsid w:val="510669F1"/>
    <w:rsid w:val="51F4226A"/>
    <w:rsid w:val="56A96530"/>
    <w:rsid w:val="57C32CB5"/>
    <w:rsid w:val="5A494B51"/>
    <w:rsid w:val="5C05719D"/>
    <w:rsid w:val="5E907A2A"/>
    <w:rsid w:val="606136A2"/>
    <w:rsid w:val="60FC22A0"/>
    <w:rsid w:val="615C0620"/>
    <w:rsid w:val="62DD43B4"/>
    <w:rsid w:val="66442670"/>
    <w:rsid w:val="66C21D1F"/>
    <w:rsid w:val="6A6830F7"/>
    <w:rsid w:val="72915D09"/>
    <w:rsid w:val="756B3B70"/>
    <w:rsid w:val="75D42E7C"/>
    <w:rsid w:val="76665A66"/>
    <w:rsid w:val="772B1C5E"/>
    <w:rsid w:val="779561E8"/>
    <w:rsid w:val="790D214D"/>
    <w:rsid w:val="7BAE78E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5558eb72-c29e-42dc-8454-aa20c83f4cfd</errorID>
      <errorWord>岗位的</errorWord>
      <group>L1_AI</group>
      <groupName>深度校对</groupName>
      <ability>L2_AI_Word</ability>
      <abilityName>字词纠错</abilityName>
      <candidateList>
        <item>岗位</item>
      </candidateList>
      <explain/>
      <paraID>192D094D</paraID>
      <start>28</start>
      <end>30</end>
      <status>modified</status>
      <modifiedWord>岗位</modifiedWord>
      <trackRevisions>false</trackRevisions>
    </reviewItem>
    <reviewItem>
      <errorID>df0e5961-c04d-422f-85a8-2984fb22ba0c</errorID>
      <errorWord>放弃其</errorWord>
      <group>L1_AI</group>
      <groupName>深度校对</groupName>
      <ability>L2_AI_Word</ability>
      <abilityName>字词纠错</abilityName>
      <candidateList>
        <item>放弃</item>
      </candidateList>
      <explain/>
      <paraID>68139458</paraID>
      <start>180</start>
      <end>183</end>
      <status>ignored</status>
      <modifiedWord/>
      <trackRevisions>false</trackRevisions>
    </reviewItem>
    <reviewItem>
      <errorID>7dccd4bb-ab96-423e-982a-dc0be3e07693</errorID>
      <errorWord>，</errorWord>
      <group>L1_AI</group>
      <groupName>深度校对</groupName>
      <ability>L2_AI_Word</ability>
      <abilityName>字词纠错</abilityName>
      <candidateList>
        <item>的，</item>
      </candidateList>
      <explain/>
      <paraID>68139458</paraID>
      <start>196</start>
      <end>197</end>
      <status>ignored</status>
      <modifiedWord/>
      <trackRevisions>false</trackRevisions>
    </reviewItem>
    <reviewItem>
      <errorID>cfd3c4bf-7e22-450f-bca9-9f8ae1396523</errorID>
      <errorWord>考的</errorWord>
      <group>L1_AI</group>
      <groupName>深度校对</groupName>
      <ability>L2_AI_Word</ability>
      <abilityName>字词纠错</abilityName>
      <candidateList>
        <item>考</item>
      </candidateList>
      <explain/>
      <paraID>301A8402</paraID>
      <start>85</start>
      <end>87</end>
      <status>ignored</status>
      <modifiedWord/>
      <trackRevisions>false</trackRevisions>
    </reviewItem>
    <reviewItem>
      <errorID>2087a937-7f04-4cf2-8fb5-619555df4e71</errorID>
      <errorWord>视为</errorWord>
      <group>L1_AI</group>
      <groupName>深度校对</groupName>
      <ability>L2_AI_Punc</ability>
      <abilityName>标点纠错</abilityName>
      <candidateList>
        <item>，视为</item>
      </candidateList>
      <explain/>
      <paraID>301A8402</paraID>
      <start>93</start>
      <end>95</end>
      <status>ignored</status>
      <modifiedWord/>
      <trackRevisions>false</trackRevisions>
    </reviewItem>
    <reviewItem>
      <errorID>2d91f359-0397-4a72-ae5c-d60109cc02b6</errorID>
      <errorWord>少于或等于</errorWord>
      <group>L1_Knowledge</group>
      <groupName>知识性问题</groupName>
      <ability>L2_Term</ability>
      <abilityName>专业术语</abilityName>
      <candidateList>
        <item>小于或等于</item>
      </candidateList>
      <explain/>
      <paraID>301A8402</paraID>
      <start>190</start>
      <end>195</end>
      <status>ignored</status>
      <modifiedWord/>
      <trackRevisions>false</trackRevisions>
    </reviewItem>
    <reviewItem>
      <errorID>2d985466-d3d3-444c-803b-3f4755ef6186</errorID>
      <errorWord>视为</errorWord>
      <group>L1_AI</group>
      <groupName>深度校对</groupName>
      <ability>L2_AI_Punc</ability>
      <abilityName>标点纠错</abilityName>
      <candidateList>
        <item>，视为</item>
      </candidateList>
      <explain/>
      <paraID>301A8402</paraID>
      <start>243</start>
      <end>245</end>
      <status>ignored</status>
      <modifiedWord/>
      <trackRevisions>false</trackRevisions>
    </reviewItem>
    <reviewItem>
      <errorID>80da7f40-e698-43e8-8185-3cf786dd42c9</errorID>
      <errorWord>，</errorWord>
      <group>L1_AI</group>
      <groupName>深度校对</groupName>
      <ability>L2_AI_Punc</ability>
      <abilityName>标点纠错</abilityName>
      <candidateList>
        <item/>
      </candidateList>
      <explain/>
      <paraID>20439462</paraID>
      <start>26</start>
      <end>27</end>
      <status>ignored</status>
      <modifiedWord/>
      <trackRevisions>false</trackRevisions>
    </reviewItem>
    <reviewItem>
      <errorID>faae2468-3245-4a09-bbaf-01eca34d1d8f</errorID>
      <errorWord>国家人社部</errorWord>
      <group>L1_Word</group>
      <groupName>字词问题</groupName>
      <ability>L2_Typo</ability>
      <abilityName>字词错误</abilityName>
      <candidateList>
        <item>人社部</item>
      </candidateList>
      <explain/>
      <paraID>  2B5C3F</paraID>
      <start>154</start>
      <end>159</end>
      <status>ignored</status>
      <modifiedWord/>
      <trackRevisions>false</trackRevisions>
    </reviewItem>
    <reviewItem>
      <errorID>53d53f48-7b4b-4b7b-96d9-8b5867026fff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2B5C3F</paraID>
      <start>164</start>
      <end>167</end>
      <status>ignored</status>
      <modifiedWord/>
      <trackRevisions>false</trackRevisions>
    </reviewItem>
    <reviewItem>
      <errorID>f3968b8e-eabd-48fa-bfea-c9661cb1a1e1</errorID>
      <errorWord>岗位因体检人员弃权或体检不合格而出现的</errorWord>
      <group>L1_AI</group>
      <groupName>深度校对</groupName>
      <ability>L2_AI_Word</ability>
      <abilityName>字词纠错</abilityName>
      <candidateList>
        <item>因体检人员弃权或体检不合格而出现的岗位</item>
      </candidateList>
      <explain/>
      <paraID>33FA5538</paraID>
      <start>75</start>
      <end>94</end>
      <status>ignored</status>
      <modifiedWord/>
      <trackRevisions>false</trackRevisions>
    </reviewItem>
    <reviewItem>
      <errorID>879fae1e-6821-4eb6-9228-569aede8262e</errorID>
      <errorWord>以及通过考核的报考者在</errorWord>
      <group>L1_AI</group>
      <groupName>深度校对</groupName>
      <ability>L2_AI_Grammar</ability>
      <abilityName>语法纠错</abilityName>
      <candidateList>
        <item>以及</item>
      </candidateList>
      <explain/>
      <paraID>5423CCD5</paraID>
      <start>83</start>
      <end>94</end>
      <status>ignored</status>
      <modifiedWord/>
      <trackRevisions>false</trackRevisions>
    </reviewItem>
    <reviewItem>
      <errorID>f61b9681-cf77-4ddb-86f6-2d7dd30cc1ba</errorID>
      <errorWord>出现</errorWord>
      <group>L1_AI</group>
      <groupName>深度校对</groupName>
      <ability>L2_AI_Grammar</ability>
      <abilityName>语法纠错</abilityName>
      <candidateList>
        <item>的报考者出现</item>
      </candidateList>
      <explain/>
      <paraID>5423CCD5</paraID>
      <start>101</start>
      <end>103</end>
      <status>ignored</status>
      <modifiedWord/>
      <trackRevisions>false</trackRevisions>
    </reviewItem>
    <reviewItem>
      <errorID>88d17737-763f-4b48-b74b-b1bf5ce09bf8</errorID>
      <errorWord>，</errorWord>
      <group>L1_AI</group>
      <groupName>深度校对</groupName>
      <ability>L2_AI_Punc</ability>
      <abilityName>标点纠错</abilityName>
      <candidateList>
        <item>。</item>
      </candidateList>
      <explain/>
      <paraID>5423CCD5</paraID>
      <start>124</start>
      <end>125</end>
      <status>ignored</status>
      <modifiedWord/>
      <trackRevisions>false</trackRevisions>
    </reviewItem>
    <reviewItem>
      <errorID>deb4005b-efbc-4f9b-92dd-2f69aceb129b</errorID>
      <errorWord>日</errorWord>
      <group>L1_AI</group>
      <groupName>深度校对</groupName>
      <ability>L2_AI_Word</ability>
      <abilityName>字词纠错</abilityName>
      <candidateList>
        <item>天</item>
      </candidateList>
      <explain/>
      <paraID>7DBF0FB6</paraID>
      <start>28</start>
      <end>29</end>
      <status>ignored</status>
      <modifiedWord/>
      <trackRevisions>false</trackRevisions>
    </reviewItem>
    <reviewItem>
      <errorID>38351f92-6a5a-49ee-ac4d-7caefe96df4e</errorID>
      <errorWord>（</errorWord>
      <group>L1_Punc</group>
      <groupName>标点问题</groupName>
      <ability>L2_Punc</ability>
      <abilityName>标点符号检查</abilityName>
      <candidateList/>
      <explain>同一形式括号套用。</explain>
      <paraID>63F55B04</paraID>
      <start>71</start>
      <end>72</end>
      <status>ignored</status>
      <modifiedWord/>
      <trackRevisions>false</trackRevisions>
    </reviewItem>
    <reviewItem>
      <errorID>4aab8353-553e-49f3-9bb0-8636d2c93116</errorID>
      <errorWord>）</errorWord>
      <group>L1_Punc</group>
      <groupName>标点问题</groupName>
      <ability>L2_Punc</ability>
      <abilityName>标点符号检查</abilityName>
      <candidateList/>
      <explain>同一形式括号套用。</explain>
      <paraID>63F55B04</paraID>
      <start>74</start>
      <end>75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013a4-e6be-4d72-8cb3-833f764bacaf}">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5451</Words>
  <Characters>5709</Characters>
  <Lines>0</Lines>
  <Paragraphs>0</Paragraphs>
  <TotalTime>43</TotalTime>
  <ScaleCrop>false</ScaleCrop>
  <LinksUpToDate>false</LinksUpToDate>
  <CharactersWithSpaces>5838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2025-09-30T03:07:00Z</dcterms:created>
  <dc:creator>村落绝唱</dc:creator>
  <cp:lastModifiedBy>黑子</cp:lastModifiedBy>
  <cp:lastPrinted>2025-09-30T07:55:00Z</cp:lastPrinted>
  <dcterms:modified xsi:type="dcterms:W3CDTF">2025-12-22T07:05:37Z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519A871ACE6C4DA59C17315353668C37_13</vt:lpwstr>
  </property>
  <property fmtid="{D5CDD505-2E9C-101B-9397-08002B2CF9AE}" pid="4" name="KSOTemplateDocerSaveRecord">
    <vt:lpwstr>eyJoZGlkIjoiZDhiMWQ2ZjkxNDE5NTcwYjg0ZDQ2OTM5NGQ2OTNiOTEiLCJ1c2VySWQiOiIzODU4Njk2MjMifQ==</vt:lpwstr>
  </property>
</Properties>
</file>