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0B90B">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简体" w:cs="方正仿宋简体"/>
          <w:color w:val="auto"/>
          <w:sz w:val="32"/>
          <w:szCs w:val="32"/>
          <w:highlight w:val="none"/>
          <w:lang w:val="en-US" w:eastAsia="zh-CN"/>
        </w:rPr>
      </w:pPr>
      <w:r>
        <w:rPr>
          <w:rFonts w:hint="eastAsia" w:ascii="方正黑体简体" w:hAnsi="方正黑体简体" w:eastAsia="方正黑体简体" w:cs="方正黑体简体"/>
          <w:sz w:val="32"/>
          <w:szCs w:val="32"/>
          <w:lang w:val="en-US" w:eastAsia="zh-CN"/>
        </w:rPr>
        <w:t>附件</w:t>
      </w:r>
      <w:r>
        <w:rPr>
          <w:rFonts w:hint="eastAsia" w:ascii="Times New Roman" w:hAnsi="Times New Roman" w:eastAsia="方正仿宋简体" w:cs="方正仿宋简体"/>
          <w:sz w:val="32"/>
          <w:szCs w:val="32"/>
          <w:lang w:val="en-US" w:eastAsia="zh-CN"/>
        </w:rPr>
        <w:t>1</w:t>
      </w:r>
    </w:p>
    <w:p w14:paraId="54F266F8">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黑体简体" w:cs="Times New Roman"/>
          <w:color w:val="auto"/>
          <w:sz w:val="32"/>
          <w:szCs w:val="32"/>
          <w:highlight w:val="none"/>
        </w:rPr>
      </w:pPr>
      <w:r>
        <w:rPr>
          <w:rFonts w:hint="eastAsia" w:ascii="Times New Roman" w:hAnsi="Times New Roman" w:eastAsia="方正小标宋简体" w:cs="方正小标宋简体"/>
          <w:color w:val="auto"/>
          <w:sz w:val="44"/>
          <w:szCs w:val="44"/>
          <w:highlight w:val="none"/>
          <w:lang w:eastAsia="zh-CN"/>
        </w:rPr>
        <w:t>德阳经开区</w:t>
      </w:r>
      <w:r>
        <w:rPr>
          <w:rFonts w:hint="eastAsia" w:ascii="Times New Roman" w:hAnsi="Times New Roman" w:eastAsia="方正小标宋简体" w:cs="方正小标宋简体"/>
          <w:color w:val="auto"/>
          <w:sz w:val="44"/>
          <w:szCs w:val="44"/>
          <w:highlight w:val="none"/>
        </w:rPr>
        <w:t>2026年社会工作服务岗位招募</w:t>
      </w:r>
      <w:r>
        <w:rPr>
          <w:rFonts w:hint="eastAsia" w:ascii="方正小标宋简体" w:hAnsi="方正小标宋简体" w:eastAsia="方正小标宋简体" w:cs="方正小标宋简体"/>
          <w:color w:val="auto"/>
          <w:sz w:val="44"/>
          <w:szCs w:val="44"/>
          <w:highlight w:val="none"/>
          <w:lang w:val="en-US" w:eastAsia="zh-CN"/>
        </w:rPr>
        <w:t>岗位表</w:t>
      </w:r>
    </w:p>
    <w:tbl>
      <w:tblPr>
        <w:tblStyle w:val="5"/>
        <w:tblpPr w:leftFromText="180" w:rightFromText="180" w:vertAnchor="text" w:horzAnchor="page" w:tblpXSpec="center" w:tblpY="382"/>
        <w:tblOverlap w:val="never"/>
        <w:tblW w:w="5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792"/>
        <w:gridCol w:w="1238"/>
        <w:gridCol w:w="1058"/>
        <w:gridCol w:w="1333"/>
        <w:gridCol w:w="894"/>
        <w:gridCol w:w="1439"/>
        <w:gridCol w:w="8183"/>
      </w:tblGrid>
      <w:tr w14:paraId="6175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 w:type="pct"/>
            <w:vMerge w:val="restart"/>
            <w:noWrap w:val="0"/>
            <w:vAlign w:val="center"/>
          </w:tcPr>
          <w:p w14:paraId="15B47D90">
            <w:pPr>
              <w:widowControl/>
              <w:spacing w:line="400" w:lineRule="exact"/>
              <w:jc w:val="center"/>
              <w:textAlignment w:val="center"/>
              <w:rPr>
                <w:rFonts w:hint="default" w:ascii="Times New Roman" w:hAnsi="Times New Roman" w:eastAsia="微软雅黑" w:cs="Times New Roman"/>
                <w:color w:val="auto"/>
                <w:sz w:val="28"/>
                <w:szCs w:val="28"/>
                <w:highlight w:val="none"/>
              </w:rPr>
            </w:pPr>
            <w:r>
              <w:rPr>
                <w:rFonts w:hint="default" w:ascii="Times New Roman" w:hAnsi="Times New Roman" w:eastAsia="微软雅黑" w:cs="Times New Roman"/>
                <w:color w:val="auto"/>
                <w:kern w:val="0"/>
                <w:sz w:val="28"/>
                <w:szCs w:val="28"/>
                <w:highlight w:val="none"/>
              </w:rPr>
              <w:t>序号</w:t>
            </w:r>
          </w:p>
        </w:tc>
        <w:tc>
          <w:tcPr>
            <w:tcW w:w="256" w:type="pct"/>
            <w:vMerge w:val="restart"/>
            <w:noWrap w:val="0"/>
            <w:vAlign w:val="center"/>
          </w:tcPr>
          <w:p w14:paraId="1A361A15">
            <w:pPr>
              <w:widowControl/>
              <w:spacing w:line="400" w:lineRule="exact"/>
              <w:jc w:val="center"/>
              <w:textAlignment w:val="center"/>
              <w:rPr>
                <w:rFonts w:hint="eastAsia" w:ascii="Times New Roman" w:hAnsi="Times New Roman" w:eastAsia="微软雅黑" w:cs="Times New Roman"/>
                <w:color w:val="auto"/>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招募</w:t>
            </w:r>
            <w:r>
              <w:rPr>
                <w:rFonts w:hint="eastAsia" w:ascii="Times New Roman" w:hAnsi="Times New Roman" w:eastAsia="微软雅黑" w:cs="Times New Roman"/>
                <w:color w:val="auto"/>
                <w:kern w:val="0"/>
                <w:sz w:val="28"/>
                <w:szCs w:val="28"/>
                <w:highlight w:val="none"/>
                <w:lang w:val="en-US" w:eastAsia="zh-CN"/>
              </w:rPr>
              <w:t>岗位</w:t>
            </w:r>
          </w:p>
        </w:tc>
        <w:tc>
          <w:tcPr>
            <w:tcW w:w="400" w:type="pct"/>
            <w:vMerge w:val="restart"/>
            <w:noWrap w:val="0"/>
            <w:vAlign w:val="center"/>
          </w:tcPr>
          <w:p w14:paraId="27A7ADC2">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岗位</w:t>
            </w:r>
          </w:p>
          <w:p w14:paraId="039BBC7D">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分类</w:t>
            </w:r>
          </w:p>
        </w:tc>
        <w:tc>
          <w:tcPr>
            <w:tcW w:w="342" w:type="pct"/>
            <w:vMerge w:val="restart"/>
            <w:noWrap w:val="0"/>
            <w:vAlign w:val="center"/>
          </w:tcPr>
          <w:p w14:paraId="6A9D503D">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招募</w:t>
            </w:r>
          </w:p>
          <w:p w14:paraId="65E28173">
            <w:pPr>
              <w:widowControl/>
              <w:spacing w:line="400" w:lineRule="exact"/>
              <w:jc w:val="center"/>
              <w:textAlignment w:val="center"/>
              <w:rPr>
                <w:rFonts w:hint="eastAsia" w:ascii="Times New Roman" w:hAnsi="Times New Roman" w:eastAsia="微软雅黑" w:cs="Times New Roman"/>
                <w:color w:val="auto"/>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名额</w:t>
            </w:r>
          </w:p>
        </w:tc>
        <w:tc>
          <w:tcPr>
            <w:tcW w:w="431" w:type="pct"/>
            <w:vMerge w:val="restart"/>
            <w:noWrap w:val="0"/>
            <w:vAlign w:val="center"/>
          </w:tcPr>
          <w:p w14:paraId="40EADF53">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招募</w:t>
            </w:r>
          </w:p>
          <w:p w14:paraId="1D99E179">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对象</w:t>
            </w:r>
          </w:p>
        </w:tc>
        <w:tc>
          <w:tcPr>
            <w:tcW w:w="3399" w:type="pct"/>
            <w:gridSpan w:val="3"/>
            <w:noWrap w:val="0"/>
            <w:vAlign w:val="center"/>
          </w:tcPr>
          <w:p w14:paraId="4FFEE735">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r>
              <w:rPr>
                <w:rFonts w:hint="default" w:ascii="Times New Roman" w:hAnsi="Times New Roman" w:eastAsia="微软雅黑" w:cs="Times New Roman"/>
                <w:color w:val="auto"/>
                <w:kern w:val="0"/>
                <w:sz w:val="28"/>
                <w:szCs w:val="28"/>
                <w:highlight w:val="none"/>
              </w:rPr>
              <w:t>资格条件</w:t>
            </w:r>
          </w:p>
        </w:tc>
      </w:tr>
      <w:tr w14:paraId="5105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 w:type="pct"/>
            <w:vMerge w:val="continue"/>
            <w:noWrap w:val="0"/>
            <w:vAlign w:val="center"/>
          </w:tcPr>
          <w:p w14:paraId="0A31C1D0">
            <w:pPr>
              <w:widowControl/>
              <w:spacing w:line="400" w:lineRule="exact"/>
              <w:jc w:val="center"/>
              <w:rPr>
                <w:rFonts w:hint="default" w:ascii="Times New Roman" w:hAnsi="Times New Roman" w:eastAsia="微软雅黑" w:cs="Times New Roman"/>
                <w:color w:val="auto"/>
                <w:sz w:val="32"/>
                <w:szCs w:val="32"/>
                <w:highlight w:val="none"/>
              </w:rPr>
            </w:pPr>
          </w:p>
        </w:tc>
        <w:tc>
          <w:tcPr>
            <w:tcW w:w="256" w:type="pct"/>
            <w:vMerge w:val="continue"/>
            <w:noWrap w:val="0"/>
            <w:vAlign w:val="center"/>
          </w:tcPr>
          <w:p w14:paraId="1BB5561B">
            <w:pPr>
              <w:widowControl/>
              <w:spacing w:line="400" w:lineRule="exact"/>
              <w:jc w:val="center"/>
              <w:rPr>
                <w:rFonts w:hint="default" w:ascii="Times New Roman" w:hAnsi="Times New Roman" w:eastAsia="微软雅黑" w:cs="Times New Roman"/>
                <w:color w:val="auto"/>
                <w:sz w:val="32"/>
                <w:szCs w:val="32"/>
                <w:highlight w:val="none"/>
              </w:rPr>
            </w:pPr>
          </w:p>
        </w:tc>
        <w:tc>
          <w:tcPr>
            <w:tcW w:w="400" w:type="pct"/>
            <w:vMerge w:val="continue"/>
            <w:noWrap w:val="0"/>
            <w:vAlign w:val="center"/>
          </w:tcPr>
          <w:p w14:paraId="03367479">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p>
        </w:tc>
        <w:tc>
          <w:tcPr>
            <w:tcW w:w="342" w:type="pct"/>
            <w:vMerge w:val="continue"/>
            <w:noWrap w:val="0"/>
            <w:vAlign w:val="center"/>
          </w:tcPr>
          <w:p w14:paraId="246C286F">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p>
        </w:tc>
        <w:tc>
          <w:tcPr>
            <w:tcW w:w="431" w:type="pct"/>
            <w:vMerge w:val="continue"/>
            <w:noWrap w:val="0"/>
            <w:vAlign w:val="center"/>
          </w:tcPr>
          <w:p w14:paraId="677F3F62">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p>
        </w:tc>
        <w:tc>
          <w:tcPr>
            <w:tcW w:w="289" w:type="pct"/>
            <w:noWrap w:val="0"/>
            <w:vAlign w:val="center"/>
          </w:tcPr>
          <w:p w14:paraId="3F1C3DC0">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r>
              <w:rPr>
                <w:rFonts w:hint="default" w:ascii="Times New Roman" w:hAnsi="Times New Roman" w:eastAsia="微软雅黑" w:cs="Times New Roman"/>
                <w:color w:val="auto"/>
                <w:kern w:val="0"/>
                <w:sz w:val="28"/>
                <w:szCs w:val="28"/>
                <w:highlight w:val="none"/>
              </w:rPr>
              <w:t>学历要求</w:t>
            </w:r>
          </w:p>
        </w:tc>
        <w:tc>
          <w:tcPr>
            <w:tcW w:w="465" w:type="pct"/>
            <w:noWrap w:val="0"/>
            <w:vAlign w:val="center"/>
          </w:tcPr>
          <w:p w14:paraId="1B1BE09B">
            <w:pPr>
              <w:widowControl/>
              <w:spacing w:line="400" w:lineRule="exact"/>
              <w:jc w:val="center"/>
              <w:textAlignment w:val="center"/>
              <w:rPr>
                <w:rFonts w:hint="default" w:ascii="Times New Roman" w:hAnsi="Times New Roman" w:eastAsia="微软雅黑" w:cs="Times New Roman"/>
                <w:color w:val="auto"/>
                <w:kern w:val="0"/>
                <w:sz w:val="28"/>
                <w:szCs w:val="28"/>
                <w:highlight w:val="none"/>
              </w:rPr>
            </w:pPr>
            <w:r>
              <w:rPr>
                <w:rFonts w:hint="default" w:ascii="Times New Roman" w:hAnsi="Times New Roman" w:eastAsia="微软雅黑" w:cs="Times New Roman"/>
                <w:color w:val="auto"/>
                <w:kern w:val="0"/>
                <w:sz w:val="28"/>
                <w:szCs w:val="28"/>
                <w:highlight w:val="none"/>
              </w:rPr>
              <w:t>专业要求</w:t>
            </w:r>
          </w:p>
        </w:tc>
        <w:tc>
          <w:tcPr>
            <w:tcW w:w="2645" w:type="pct"/>
            <w:noWrap w:val="0"/>
            <w:vAlign w:val="center"/>
          </w:tcPr>
          <w:p w14:paraId="1145FCAC">
            <w:pPr>
              <w:widowControl/>
              <w:spacing w:line="400" w:lineRule="exact"/>
              <w:jc w:val="center"/>
              <w:textAlignment w:val="center"/>
              <w:rPr>
                <w:rFonts w:hint="eastAsia" w:ascii="Times New Roman" w:hAnsi="Times New Roman" w:eastAsia="微软雅黑" w:cs="Times New Roman"/>
                <w:color w:val="auto"/>
                <w:kern w:val="0"/>
                <w:sz w:val="28"/>
                <w:szCs w:val="28"/>
                <w:highlight w:val="none"/>
                <w:lang w:eastAsia="zh-CN"/>
              </w:rPr>
            </w:pPr>
            <w:r>
              <w:rPr>
                <w:rFonts w:hint="eastAsia" w:ascii="Times New Roman" w:hAnsi="Times New Roman" w:eastAsia="微软雅黑" w:cs="Times New Roman"/>
                <w:color w:val="auto"/>
                <w:kern w:val="0"/>
                <w:sz w:val="28"/>
                <w:szCs w:val="28"/>
                <w:highlight w:val="none"/>
                <w:lang w:eastAsia="zh-CN"/>
              </w:rPr>
              <w:t>岗位职责</w:t>
            </w:r>
          </w:p>
        </w:tc>
      </w:tr>
      <w:tr w14:paraId="14B6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70" w:type="pct"/>
            <w:vMerge w:val="restart"/>
            <w:noWrap w:val="0"/>
            <w:vAlign w:val="center"/>
          </w:tcPr>
          <w:p w14:paraId="65F01065">
            <w:pPr>
              <w:widowControl/>
              <w:spacing w:line="300" w:lineRule="exact"/>
              <w:jc w:val="center"/>
              <w:textAlignment w:val="cente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kern w:val="0"/>
                <w:sz w:val="28"/>
                <w:szCs w:val="28"/>
                <w:highlight w:val="none"/>
              </w:rPr>
              <w:t>1</w:t>
            </w:r>
          </w:p>
        </w:tc>
        <w:tc>
          <w:tcPr>
            <w:tcW w:w="256" w:type="pct"/>
            <w:vMerge w:val="restart"/>
            <w:noWrap w:val="0"/>
            <w:vAlign w:val="center"/>
          </w:tcPr>
          <w:p w14:paraId="1CEB81D5">
            <w:pPr>
              <w:widowControl/>
              <w:spacing w:line="300" w:lineRule="exact"/>
              <w:jc w:val="center"/>
              <w:textAlignment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社会工作服务岗位</w:t>
            </w:r>
          </w:p>
        </w:tc>
        <w:tc>
          <w:tcPr>
            <w:tcW w:w="400" w:type="pct"/>
            <w:noWrap w:val="0"/>
            <w:vAlign w:val="center"/>
          </w:tcPr>
          <w:p w14:paraId="517BD6EC">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岗位一</w:t>
            </w:r>
          </w:p>
          <w:p w14:paraId="4BDF3434">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（乐安社区综合服务中心</w:t>
            </w:r>
            <w:r>
              <w:rPr>
                <w:rFonts w:hint="eastAsia" w:ascii="Times New Roman" w:hAnsi="Times New Roman" w:eastAsia="方正仿宋简体" w:cs="Times New Roman"/>
                <w:color w:val="auto"/>
                <w:sz w:val="28"/>
                <w:szCs w:val="28"/>
                <w:highlight w:val="none"/>
                <w:lang w:val="en-US" w:eastAsia="zh-CN"/>
              </w:rPr>
              <w:t>社会工作服务岗</w:t>
            </w:r>
            <w:r>
              <w:rPr>
                <w:rFonts w:hint="default" w:ascii="Times New Roman" w:hAnsi="Times New Roman" w:eastAsia="方正仿宋简体" w:cs="Times New Roman"/>
                <w:color w:val="auto"/>
                <w:sz w:val="28"/>
                <w:szCs w:val="28"/>
                <w:highlight w:val="none"/>
                <w:lang w:val="en-US" w:eastAsia="zh-CN"/>
              </w:rPr>
              <w:t>）</w:t>
            </w:r>
          </w:p>
        </w:tc>
        <w:tc>
          <w:tcPr>
            <w:tcW w:w="342" w:type="pct"/>
            <w:noWrap w:val="0"/>
            <w:vAlign w:val="center"/>
          </w:tcPr>
          <w:p w14:paraId="0EAFB930">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2</w:t>
            </w:r>
          </w:p>
        </w:tc>
        <w:tc>
          <w:tcPr>
            <w:tcW w:w="431" w:type="pct"/>
            <w:vMerge w:val="restart"/>
            <w:noWrap w:val="0"/>
            <w:vAlign w:val="center"/>
          </w:tcPr>
          <w:p w14:paraId="01D62582">
            <w:pPr>
              <w:widowControl/>
              <w:spacing w:line="300" w:lineRule="exact"/>
              <w:jc w:val="center"/>
              <w:textAlignment w:val="cente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kern w:val="0"/>
                <w:sz w:val="28"/>
                <w:szCs w:val="28"/>
                <w:highlight w:val="none"/>
                <w:lang w:val="en-US" w:eastAsia="zh-CN"/>
              </w:rPr>
              <w:t>2026年应届毕业生以及2023届、2024届、2025届</w:t>
            </w:r>
            <w:r>
              <w:rPr>
                <w:rFonts w:hint="eastAsia" w:ascii="Times New Roman" w:hAnsi="Times New Roman" w:eastAsia="方正仿宋简体" w:cs="Times New Roman"/>
                <w:color w:val="auto"/>
                <w:kern w:val="0"/>
                <w:sz w:val="28"/>
                <w:szCs w:val="28"/>
                <w:highlight w:val="none"/>
                <w:lang w:val="en-US" w:eastAsia="zh-CN"/>
              </w:rPr>
              <w:t>未就业</w:t>
            </w:r>
            <w:r>
              <w:rPr>
                <w:rFonts w:hint="default" w:ascii="Times New Roman" w:hAnsi="Times New Roman" w:eastAsia="方正仿宋简体" w:cs="Times New Roman"/>
                <w:color w:val="auto"/>
                <w:kern w:val="0"/>
                <w:sz w:val="28"/>
                <w:szCs w:val="28"/>
                <w:highlight w:val="none"/>
                <w:lang w:val="en-US" w:eastAsia="zh-CN"/>
              </w:rPr>
              <w:t>毕业生</w:t>
            </w:r>
            <w:r>
              <w:rPr>
                <w:rFonts w:hint="eastAsia" w:ascii="Times New Roman" w:hAnsi="Times New Roman" w:eastAsia="方正仿宋简体" w:cs="Times New Roman"/>
                <w:color w:val="auto"/>
                <w:kern w:val="0"/>
                <w:sz w:val="28"/>
                <w:szCs w:val="28"/>
                <w:highlight w:val="none"/>
                <w:lang w:val="en-US" w:eastAsia="zh-CN"/>
              </w:rPr>
              <w:t>，符合条件的公共卫生特别服务岗人员</w:t>
            </w:r>
          </w:p>
        </w:tc>
        <w:tc>
          <w:tcPr>
            <w:tcW w:w="289" w:type="pct"/>
            <w:vMerge w:val="restart"/>
            <w:noWrap w:val="0"/>
            <w:vAlign w:val="center"/>
          </w:tcPr>
          <w:p w14:paraId="49F5515C">
            <w:pPr>
              <w:widowControl/>
              <w:spacing w:line="300" w:lineRule="exact"/>
              <w:jc w:val="center"/>
              <w:textAlignment w:val="center"/>
              <w:rPr>
                <w:rFonts w:hint="default" w:ascii="Times New Roman" w:hAnsi="Times New Roman" w:eastAsia="方正仿宋简体" w:cs="Times New Roman"/>
                <w:color w:val="auto"/>
                <w:sz w:val="28"/>
                <w:szCs w:val="28"/>
                <w:highlight w:val="none"/>
              </w:rPr>
            </w:pPr>
            <w:r>
              <w:rPr>
                <w:rStyle w:val="7"/>
                <w:rFonts w:hint="eastAsia" w:ascii="Times New Roman" w:hAnsi="Times New Roman" w:eastAsia="方正仿宋简体" w:cs="Times New Roman"/>
                <w:color w:val="auto"/>
                <w:sz w:val="28"/>
                <w:szCs w:val="28"/>
                <w:highlight w:val="none"/>
                <w:lang w:eastAsia="zh-CN"/>
              </w:rPr>
              <w:t>全日制</w:t>
            </w:r>
            <w:bookmarkStart w:id="0" w:name="_GoBack"/>
            <w:bookmarkEnd w:id="0"/>
            <w:r>
              <w:rPr>
                <w:rStyle w:val="7"/>
                <w:rFonts w:hint="default" w:ascii="Times New Roman" w:hAnsi="Times New Roman" w:eastAsia="方正仿宋简体" w:cs="Times New Roman"/>
                <w:color w:val="auto"/>
                <w:sz w:val="28"/>
                <w:szCs w:val="28"/>
                <w:highlight w:val="none"/>
                <w:lang w:eastAsia="zh-CN"/>
              </w:rPr>
              <w:t>专</w:t>
            </w:r>
            <w:r>
              <w:rPr>
                <w:rStyle w:val="7"/>
                <w:rFonts w:hint="default" w:ascii="Times New Roman" w:hAnsi="Times New Roman" w:eastAsia="方正仿宋简体" w:cs="Times New Roman"/>
                <w:color w:val="auto"/>
                <w:sz w:val="28"/>
                <w:szCs w:val="28"/>
                <w:highlight w:val="none"/>
              </w:rPr>
              <w:t>科及以上学历</w:t>
            </w:r>
          </w:p>
        </w:tc>
        <w:tc>
          <w:tcPr>
            <w:tcW w:w="465" w:type="pct"/>
            <w:vMerge w:val="restart"/>
            <w:noWrap w:val="0"/>
            <w:vAlign w:val="center"/>
          </w:tcPr>
          <w:p w14:paraId="4D6BF080">
            <w:pPr>
              <w:widowControl/>
              <w:spacing w:line="300" w:lineRule="exact"/>
              <w:jc w:val="center"/>
              <w:textAlignment w:val="center"/>
              <w:rPr>
                <w:rFonts w:hint="default" w:ascii="Times New Roman" w:hAnsi="Times New Roman" w:eastAsia="方正仿宋简体" w:cs="Times New Roman"/>
                <w:color w:val="auto"/>
                <w:sz w:val="28"/>
                <w:szCs w:val="28"/>
                <w:highlight w:val="none"/>
              </w:rPr>
            </w:pPr>
            <w:r>
              <w:rPr>
                <w:rStyle w:val="7"/>
                <w:rFonts w:hint="default" w:ascii="Times New Roman" w:hAnsi="Times New Roman" w:eastAsia="方正仿宋简体" w:cs="Times New Roman"/>
                <w:color w:val="auto"/>
                <w:sz w:val="28"/>
                <w:szCs w:val="28"/>
                <w:highlight w:val="none"/>
              </w:rPr>
              <w:t>社会工作、社区管理与服务和社会学、心理学、医学、法学、教育学类等相关专业</w:t>
            </w:r>
          </w:p>
        </w:tc>
        <w:tc>
          <w:tcPr>
            <w:tcW w:w="2645" w:type="pct"/>
            <w:noWrap w:val="0"/>
            <w:vAlign w:val="center"/>
          </w:tcPr>
          <w:p w14:paraId="46056662">
            <w:pPr>
              <w:widowControl/>
              <w:spacing w:line="300" w:lineRule="exact"/>
              <w:jc w:val="left"/>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u w:val="none"/>
              </w:rPr>
              <w:t>从事</w:t>
            </w:r>
            <w:r>
              <w:rPr>
                <w:rFonts w:hint="default" w:ascii="Times New Roman" w:hAnsi="Times New Roman" w:eastAsia="方正仿宋简体" w:cs="Times New Roman"/>
                <w:color w:val="auto"/>
                <w:sz w:val="28"/>
                <w:szCs w:val="28"/>
                <w:highlight w:val="none"/>
                <w:u w:val="none"/>
                <w:lang w:val="en-US" w:eastAsia="zh-CN"/>
              </w:rPr>
              <w:t>社区居民提供心理社会关爱服务，包括开展社区居民心理健康评估、心理疏导、危机干预等服务；组织社区关爱活动，重点服务青少年、残疾人、新就业群体等；协助社区建立健全心理社会服务档案、开展资源链接、助力风险排查和矛盾化解等工作。</w:t>
            </w:r>
          </w:p>
        </w:tc>
      </w:tr>
      <w:tr w14:paraId="0AE3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70" w:type="pct"/>
            <w:vMerge w:val="continue"/>
            <w:noWrap w:val="0"/>
            <w:vAlign w:val="center"/>
          </w:tcPr>
          <w:p w14:paraId="09FCEDB6">
            <w:pPr>
              <w:widowControl/>
              <w:spacing w:line="300" w:lineRule="exact"/>
              <w:jc w:val="center"/>
              <w:textAlignment w:val="center"/>
              <w:rPr>
                <w:rFonts w:hint="default" w:ascii="Times New Roman" w:hAnsi="Times New Roman" w:eastAsia="方正仿宋简体" w:cs="Times New Roman"/>
                <w:color w:val="auto"/>
                <w:kern w:val="0"/>
                <w:sz w:val="28"/>
                <w:szCs w:val="28"/>
                <w:highlight w:val="none"/>
              </w:rPr>
            </w:pPr>
          </w:p>
        </w:tc>
        <w:tc>
          <w:tcPr>
            <w:tcW w:w="256" w:type="pct"/>
            <w:vMerge w:val="continue"/>
            <w:noWrap w:val="0"/>
            <w:vAlign w:val="center"/>
          </w:tcPr>
          <w:p w14:paraId="0C29BBD2">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p>
        </w:tc>
        <w:tc>
          <w:tcPr>
            <w:tcW w:w="400" w:type="pct"/>
            <w:noWrap w:val="0"/>
            <w:vAlign w:val="center"/>
          </w:tcPr>
          <w:p w14:paraId="05E7D68D">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岗位二</w:t>
            </w:r>
          </w:p>
          <w:p w14:paraId="5DFA58A6">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（经开区公立医疗机构医务</w:t>
            </w:r>
            <w:r>
              <w:rPr>
                <w:rFonts w:hint="eastAsia" w:ascii="Times New Roman" w:hAnsi="Times New Roman" w:eastAsia="方正仿宋简体" w:cs="Times New Roman"/>
                <w:color w:val="auto"/>
                <w:sz w:val="28"/>
                <w:szCs w:val="28"/>
                <w:highlight w:val="none"/>
                <w:lang w:val="en-US" w:eastAsia="zh-CN"/>
              </w:rPr>
              <w:t>社会工作服务岗</w:t>
            </w:r>
            <w:r>
              <w:rPr>
                <w:rFonts w:hint="default" w:ascii="Times New Roman" w:hAnsi="Times New Roman" w:eastAsia="方正仿宋简体" w:cs="Times New Roman"/>
                <w:color w:val="auto"/>
                <w:sz w:val="28"/>
                <w:szCs w:val="28"/>
                <w:highlight w:val="none"/>
                <w:lang w:val="en-US" w:eastAsia="zh-CN"/>
              </w:rPr>
              <w:t>）</w:t>
            </w:r>
          </w:p>
        </w:tc>
        <w:tc>
          <w:tcPr>
            <w:tcW w:w="342" w:type="pct"/>
            <w:noWrap w:val="0"/>
            <w:vAlign w:val="center"/>
          </w:tcPr>
          <w:p w14:paraId="10A8800B">
            <w:pPr>
              <w:widowControl/>
              <w:spacing w:line="300" w:lineRule="exact"/>
              <w:jc w:val="center"/>
              <w:textAlignment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1</w:t>
            </w:r>
          </w:p>
        </w:tc>
        <w:tc>
          <w:tcPr>
            <w:tcW w:w="431" w:type="pct"/>
            <w:vMerge w:val="continue"/>
            <w:noWrap w:val="0"/>
            <w:vAlign w:val="center"/>
          </w:tcPr>
          <w:p w14:paraId="799B225F">
            <w:pPr>
              <w:widowControl/>
              <w:spacing w:line="300" w:lineRule="exact"/>
              <w:jc w:val="center"/>
              <w:textAlignment w:val="center"/>
              <w:rPr>
                <w:rFonts w:hint="default" w:ascii="Times New Roman" w:hAnsi="Times New Roman" w:eastAsia="方正仿宋简体" w:cs="Times New Roman"/>
                <w:color w:val="auto"/>
                <w:kern w:val="0"/>
                <w:sz w:val="28"/>
                <w:szCs w:val="28"/>
                <w:highlight w:val="none"/>
              </w:rPr>
            </w:pPr>
          </w:p>
        </w:tc>
        <w:tc>
          <w:tcPr>
            <w:tcW w:w="289" w:type="pct"/>
            <w:vMerge w:val="continue"/>
            <w:noWrap w:val="0"/>
            <w:vAlign w:val="center"/>
          </w:tcPr>
          <w:p w14:paraId="61528FFC">
            <w:pPr>
              <w:widowControl/>
              <w:spacing w:line="300" w:lineRule="exact"/>
              <w:jc w:val="center"/>
              <w:textAlignment w:val="center"/>
              <w:rPr>
                <w:rStyle w:val="7"/>
                <w:rFonts w:hint="default" w:ascii="Times New Roman" w:hAnsi="Times New Roman" w:eastAsia="方正仿宋简体" w:cs="Times New Roman"/>
                <w:color w:val="auto"/>
                <w:sz w:val="28"/>
                <w:szCs w:val="28"/>
                <w:highlight w:val="none"/>
                <w:lang w:eastAsia="zh-CN"/>
              </w:rPr>
            </w:pPr>
          </w:p>
        </w:tc>
        <w:tc>
          <w:tcPr>
            <w:tcW w:w="465" w:type="pct"/>
            <w:vMerge w:val="continue"/>
            <w:noWrap w:val="0"/>
            <w:vAlign w:val="center"/>
          </w:tcPr>
          <w:p w14:paraId="27A8830C">
            <w:pPr>
              <w:widowControl/>
              <w:spacing w:line="300" w:lineRule="exact"/>
              <w:jc w:val="left"/>
              <w:textAlignment w:val="center"/>
              <w:rPr>
                <w:rStyle w:val="7"/>
                <w:rFonts w:hint="default" w:ascii="Times New Roman" w:hAnsi="Times New Roman" w:eastAsia="方正仿宋简体" w:cs="Times New Roman"/>
                <w:color w:val="auto"/>
                <w:sz w:val="28"/>
                <w:szCs w:val="28"/>
                <w:highlight w:val="none"/>
              </w:rPr>
            </w:pPr>
          </w:p>
        </w:tc>
        <w:tc>
          <w:tcPr>
            <w:tcW w:w="2645" w:type="pct"/>
            <w:noWrap w:val="0"/>
            <w:vAlign w:val="center"/>
          </w:tcPr>
          <w:p w14:paraId="7B1D73BF">
            <w:pPr>
              <w:widowControl/>
              <w:spacing w:line="300" w:lineRule="exact"/>
              <w:jc w:val="left"/>
              <w:rPr>
                <w:rStyle w:val="7"/>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u w:val="none"/>
                <w:lang w:eastAsia="zh-CN"/>
              </w:rPr>
              <w:t>从事患者及其家属提供心理—社会支持、出入院适应、对接医疗救助基金，开展个案管理、远程服务、健康知识及相关政策宣教、心理和情绪辅导、医患关系调适等服务；关注医务人员需求，为其提供减压服务，参与医学人文教育，调适医患关系等工作，结合医院和科室需求开展社会志愿者招募、培训、管理和志愿者服务活动督导；为出院患者对接社区资源，协助基层医疗卫生机构开展慢病管理、家庭医生签约、医养结合、健康促进、社会康复等服务；为突发灾难事故和公共卫生事件中的受害者及其重要关系人开展危机介入、团体辅导等专业服务，促进疾病治疗，提高患者及其家庭的心理和社会适应能力；整合社会资源，提供应急需要；普及常见多发疾病的预防和控制知识。</w:t>
            </w:r>
          </w:p>
        </w:tc>
      </w:tr>
    </w:tbl>
    <w:p w14:paraId="4A9D0361"/>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g4Y2U3NzcxODJjY2I4MjIzYzFiMDU1MDJiNDkifQ=="/>
  </w:docVars>
  <w:rsids>
    <w:rsidRoot w:val="7EDFF803"/>
    <w:rsid w:val="7EDFF803"/>
    <w:rsid w:val="EEF7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91"/>
    <w:basedOn w:val="6"/>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2026-07-15T22:44:00Z</dcterms:created>
  <dc:creator>黎盈</dc:creator>
  <cp:lastModifiedBy>黎盈</cp:lastModifiedBy>
  <dcterms:modified xsi:type="dcterms:W3CDTF">2026-07-15T16:37:43Z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E7A579199F8D65B3392C576A479F43B6_41</vt:lpwstr>
  </property>
</Properties>
</file>