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CF3C90">
      <w:pPr>
        <w:widowControl/>
        <w:spacing w:line="560" w:lineRule="exact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  <w14:ligatures w14:val="none"/>
        </w:rPr>
        <w:t>附件3</w:t>
      </w:r>
      <w:bookmarkStart w:id="0" w:name="_GoBack"/>
      <w:bookmarkEnd w:id="0"/>
    </w:p>
    <w:p w14:paraId="0142F9EC">
      <w:pPr>
        <w:pStyle w:val="2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highlight w:val="none"/>
          <w:lang w:val="en-US" w:eastAsia="zh-CN"/>
        </w:rPr>
        <w:t>江西省数字产业集团有限公司</w:t>
      </w:r>
    </w:p>
    <w:p w14:paraId="477E879C">
      <w:pPr>
        <w:pStyle w:val="2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highlight w:val="none"/>
          <w:lang w:val="en-US" w:eastAsia="zh-CN"/>
        </w:rPr>
        <w:t>领导干部须回避的亲属关系信息表</w:t>
      </w:r>
    </w:p>
    <w:tbl>
      <w:tblPr>
        <w:tblStyle w:val="4"/>
        <w:tblW w:w="88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8"/>
        <w:gridCol w:w="1129"/>
        <w:gridCol w:w="1325"/>
        <w:gridCol w:w="1102"/>
        <w:gridCol w:w="1173"/>
        <w:gridCol w:w="3010"/>
      </w:tblGrid>
      <w:tr w14:paraId="5BD1D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118" w:type="dxa"/>
            <w:noWrap w:val="0"/>
            <w:vAlign w:val="center"/>
          </w:tcPr>
          <w:p w14:paraId="6839133F">
            <w:pPr>
              <w:jc w:val="center"/>
              <w:rPr>
                <w:rFonts w:hint="default" w:eastAsia="宋体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本人姓名</w:t>
            </w:r>
          </w:p>
        </w:tc>
        <w:tc>
          <w:tcPr>
            <w:tcW w:w="1129" w:type="dxa"/>
            <w:noWrap w:val="0"/>
            <w:vAlign w:val="center"/>
          </w:tcPr>
          <w:p w14:paraId="7F39AA08">
            <w:pPr>
              <w:jc w:val="center"/>
              <w:rPr>
                <w:color w:val="auto"/>
                <w:highlight w:val="none"/>
                <w:vertAlign w:val="baseline"/>
              </w:rPr>
            </w:pPr>
          </w:p>
        </w:tc>
        <w:tc>
          <w:tcPr>
            <w:tcW w:w="1325" w:type="dxa"/>
            <w:noWrap w:val="0"/>
            <w:vAlign w:val="center"/>
          </w:tcPr>
          <w:p w14:paraId="38BD1C02">
            <w:pPr>
              <w:jc w:val="center"/>
              <w:rPr>
                <w:rFonts w:hint="default" w:eastAsia="宋体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岗位</w:t>
            </w:r>
          </w:p>
        </w:tc>
        <w:tc>
          <w:tcPr>
            <w:tcW w:w="5285" w:type="dxa"/>
            <w:gridSpan w:val="3"/>
            <w:noWrap w:val="0"/>
            <w:vAlign w:val="center"/>
          </w:tcPr>
          <w:p w14:paraId="6EE9BDD5">
            <w:pPr>
              <w:jc w:val="center"/>
              <w:rPr>
                <w:color w:val="auto"/>
                <w:highlight w:val="none"/>
                <w:vertAlign w:val="baseline"/>
              </w:rPr>
            </w:pPr>
          </w:p>
        </w:tc>
      </w:tr>
      <w:tr w14:paraId="0A6B5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3572" w:type="dxa"/>
            <w:gridSpan w:val="3"/>
            <w:noWrap w:val="0"/>
            <w:vAlign w:val="center"/>
          </w:tcPr>
          <w:p w14:paraId="72E7739C">
            <w:pPr>
              <w:jc w:val="center"/>
              <w:rPr>
                <w:color w:val="auto"/>
                <w:highlight w:val="none"/>
                <w:vertAlign w:val="baseline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是否为领导干部须回避的亲属</w:t>
            </w:r>
          </w:p>
        </w:tc>
        <w:tc>
          <w:tcPr>
            <w:tcW w:w="5285" w:type="dxa"/>
            <w:gridSpan w:val="3"/>
            <w:noWrap w:val="0"/>
            <w:vAlign w:val="center"/>
          </w:tcPr>
          <w:p w14:paraId="77CEDB17">
            <w:pPr>
              <w:jc w:val="center"/>
              <w:rPr>
                <w:color w:val="auto"/>
                <w:highlight w:val="none"/>
                <w:vertAlign w:val="baseline"/>
              </w:rPr>
            </w:pPr>
          </w:p>
        </w:tc>
      </w:tr>
      <w:tr w14:paraId="2A915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118" w:type="dxa"/>
            <w:vMerge w:val="restart"/>
            <w:noWrap w:val="0"/>
            <w:vAlign w:val="center"/>
          </w:tcPr>
          <w:p w14:paraId="294013AD">
            <w:pPr>
              <w:jc w:val="center"/>
              <w:rPr>
                <w:rFonts w:hint="default" w:eastAsia="宋体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亲属关系情况说明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（如有须回避的，则填写）</w:t>
            </w:r>
          </w:p>
        </w:tc>
        <w:tc>
          <w:tcPr>
            <w:tcW w:w="1129" w:type="dxa"/>
            <w:noWrap w:val="0"/>
            <w:vAlign w:val="center"/>
          </w:tcPr>
          <w:p w14:paraId="27664121">
            <w:pPr>
              <w:jc w:val="center"/>
              <w:rPr>
                <w:rFonts w:hint="eastAsia" w:eastAsia="宋体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称谓</w:t>
            </w:r>
          </w:p>
        </w:tc>
        <w:tc>
          <w:tcPr>
            <w:tcW w:w="1325" w:type="dxa"/>
            <w:noWrap w:val="0"/>
            <w:vAlign w:val="center"/>
          </w:tcPr>
          <w:p w14:paraId="516D49C1">
            <w:pPr>
              <w:jc w:val="center"/>
              <w:rPr>
                <w:rFonts w:hint="eastAsia" w:eastAsia="宋体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1102" w:type="dxa"/>
            <w:noWrap w:val="0"/>
            <w:vAlign w:val="center"/>
          </w:tcPr>
          <w:p w14:paraId="2BC43567">
            <w:pPr>
              <w:jc w:val="center"/>
              <w:rPr>
                <w:rFonts w:hint="default" w:eastAsia="宋体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出生日期</w:t>
            </w:r>
          </w:p>
        </w:tc>
        <w:tc>
          <w:tcPr>
            <w:tcW w:w="1173" w:type="dxa"/>
            <w:noWrap w:val="0"/>
            <w:vAlign w:val="center"/>
          </w:tcPr>
          <w:p w14:paraId="380C427D">
            <w:pPr>
              <w:jc w:val="center"/>
              <w:rPr>
                <w:rFonts w:hint="default" w:eastAsia="宋体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3010" w:type="dxa"/>
            <w:noWrap w:val="0"/>
            <w:vAlign w:val="center"/>
          </w:tcPr>
          <w:p w14:paraId="7A1C6F9C">
            <w:pPr>
              <w:jc w:val="center"/>
              <w:rPr>
                <w:rFonts w:hint="default" w:eastAsia="宋体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工作单位及职务</w:t>
            </w:r>
          </w:p>
        </w:tc>
      </w:tr>
      <w:tr w14:paraId="2EEC7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18" w:type="dxa"/>
            <w:vMerge w:val="continue"/>
            <w:noWrap w:val="0"/>
            <w:vAlign w:val="top"/>
          </w:tcPr>
          <w:p w14:paraId="30F52825">
            <w:pPr>
              <w:rPr>
                <w:color w:val="auto"/>
                <w:highlight w:val="none"/>
                <w:vertAlign w:val="baseline"/>
              </w:rPr>
            </w:pPr>
          </w:p>
        </w:tc>
        <w:tc>
          <w:tcPr>
            <w:tcW w:w="1129" w:type="dxa"/>
            <w:noWrap w:val="0"/>
            <w:vAlign w:val="top"/>
          </w:tcPr>
          <w:p w14:paraId="2F553EBD">
            <w:pPr>
              <w:rPr>
                <w:color w:val="auto"/>
                <w:highlight w:val="none"/>
                <w:vertAlign w:val="baseline"/>
              </w:rPr>
            </w:pPr>
          </w:p>
        </w:tc>
        <w:tc>
          <w:tcPr>
            <w:tcW w:w="1325" w:type="dxa"/>
            <w:noWrap w:val="0"/>
            <w:vAlign w:val="top"/>
          </w:tcPr>
          <w:p w14:paraId="7945D33F">
            <w:pPr>
              <w:rPr>
                <w:color w:val="auto"/>
                <w:highlight w:val="none"/>
                <w:vertAlign w:val="baseline"/>
              </w:rPr>
            </w:pPr>
          </w:p>
        </w:tc>
        <w:tc>
          <w:tcPr>
            <w:tcW w:w="1102" w:type="dxa"/>
            <w:noWrap w:val="0"/>
            <w:vAlign w:val="top"/>
          </w:tcPr>
          <w:p w14:paraId="25C8A790">
            <w:pPr>
              <w:rPr>
                <w:color w:val="auto"/>
                <w:highlight w:val="none"/>
                <w:vertAlign w:val="baseline"/>
              </w:rPr>
            </w:pPr>
          </w:p>
        </w:tc>
        <w:tc>
          <w:tcPr>
            <w:tcW w:w="1173" w:type="dxa"/>
            <w:noWrap w:val="0"/>
            <w:vAlign w:val="top"/>
          </w:tcPr>
          <w:p w14:paraId="70B5F91A">
            <w:pPr>
              <w:rPr>
                <w:color w:val="auto"/>
                <w:highlight w:val="none"/>
                <w:vertAlign w:val="baseline"/>
              </w:rPr>
            </w:pPr>
          </w:p>
        </w:tc>
        <w:tc>
          <w:tcPr>
            <w:tcW w:w="3010" w:type="dxa"/>
            <w:noWrap w:val="0"/>
            <w:vAlign w:val="top"/>
          </w:tcPr>
          <w:p w14:paraId="71A9216F">
            <w:pPr>
              <w:rPr>
                <w:color w:val="auto"/>
                <w:highlight w:val="none"/>
                <w:vertAlign w:val="baseline"/>
              </w:rPr>
            </w:pPr>
          </w:p>
        </w:tc>
      </w:tr>
      <w:tr w14:paraId="7FAD3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18" w:type="dxa"/>
            <w:vMerge w:val="continue"/>
            <w:noWrap w:val="0"/>
            <w:vAlign w:val="top"/>
          </w:tcPr>
          <w:p w14:paraId="652E4AC9">
            <w:pPr>
              <w:rPr>
                <w:color w:val="auto"/>
                <w:highlight w:val="none"/>
                <w:vertAlign w:val="baseline"/>
              </w:rPr>
            </w:pPr>
          </w:p>
        </w:tc>
        <w:tc>
          <w:tcPr>
            <w:tcW w:w="1129" w:type="dxa"/>
            <w:noWrap w:val="0"/>
            <w:vAlign w:val="top"/>
          </w:tcPr>
          <w:p w14:paraId="002AE135">
            <w:pPr>
              <w:rPr>
                <w:color w:val="auto"/>
                <w:highlight w:val="none"/>
                <w:vertAlign w:val="baseline"/>
              </w:rPr>
            </w:pPr>
          </w:p>
        </w:tc>
        <w:tc>
          <w:tcPr>
            <w:tcW w:w="1325" w:type="dxa"/>
            <w:noWrap w:val="0"/>
            <w:vAlign w:val="top"/>
          </w:tcPr>
          <w:p w14:paraId="5E1BDC58">
            <w:pPr>
              <w:rPr>
                <w:color w:val="auto"/>
                <w:highlight w:val="none"/>
                <w:vertAlign w:val="baseline"/>
              </w:rPr>
            </w:pPr>
          </w:p>
        </w:tc>
        <w:tc>
          <w:tcPr>
            <w:tcW w:w="1102" w:type="dxa"/>
            <w:noWrap w:val="0"/>
            <w:vAlign w:val="top"/>
          </w:tcPr>
          <w:p w14:paraId="14DA0480">
            <w:pPr>
              <w:rPr>
                <w:color w:val="auto"/>
                <w:highlight w:val="none"/>
                <w:vertAlign w:val="baseline"/>
              </w:rPr>
            </w:pPr>
          </w:p>
        </w:tc>
        <w:tc>
          <w:tcPr>
            <w:tcW w:w="1173" w:type="dxa"/>
            <w:noWrap w:val="0"/>
            <w:vAlign w:val="top"/>
          </w:tcPr>
          <w:p w14:paraId="5555F71D">
            <w:pPr>
              <w:rPr>
                <w:color w:val="auto"/>
                <w:highlight w:val="none"/>
                <w:vertAlign w:val="baseline"/>
              </w:rPr>
            </w:pPr>
          </w:p>
        </w:tc>
        <w:tc>
          <w:tcPr>
            <w:tcW w:w="3010" w:type="dxa"/>
            <w:noWrap w:val="0"/>
            <w:vAlign w:val="top"/>
          </w:tcPr>
          <w:p w14:paraId="4394AEAE">
            <w:pPr>
              <w:rPr>
                <w:color w:val="auto"/>
                <w:highlight w:val="none"/>
                <w:vertAlign w:val="baseline"/>
              </w:rPr>
            </w:pPr>
          </w:p>
        </w:tc>
      </w:tr>
      <w:tr w14:paraId="3F773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18" w:type="dxa"/>
            <w:vMerge w:val="continue"/>
            <w:noWrap w:val="0"/>
            <w:vAlign w:val="top"/>
          </w:tcPr>
          <w:p w14:paraId="6E4AE5CC">
            <w:pPr>
              <w:rPr>
                <w:color w:val="auto"/>
                <w:highlight w:val="none"/>
                <w:vertAlign w:val="baseline"/>
              </w:rPr>
            </w:pPr>
          </w:p>
        </w:tc>
        <w:tc>
          <w:tcPr>
            <w:tcW w:w="1129" w:type="dxa"/>
            <w:noWrap w:val="0"/>
            <w:vAlign w:val="top"/>
          </w:tcPr>
          <w:p w14:paraId="5790743C">
            <w:pPr>
              <w:rPr>
                <w:color w:val="auto"/>
                <w:highlight w:val="none"/>
                <w:vertAlign w:val="baseline"/>
              </w:rPr>
            </w:pPr>
          </w:p>
        </w:tc>
        <w:tc>
          <w:tcPr>
            <w:tcW w:w="1325" w:type="dxa"/>
            <w:noWrap w:val="0"/>
            <w:vAlign w:val="top"/>
          </w:tcPr>
          <w:p w14:paraId="417D6BAE">
            <w:pPr>
              <w:rPr>
                <w:color w:val="auto"/>
                <w:highlight w:val="none"/>
                <w:vertAlign w:val="baseline"/>
              </w:rPr>
            </w:pPr>
          </w:p>
        </w:tc>
        <w:tc>
          <w:tcPr>
            <w:tcW w:w="1102" w:type="dxa"/>
            <w:noWrap w:val="0"/>
            <w:vAlign w:val="top"/>
          </w:tcPr>
          <w:p w14:paraId="52A41A68">
            <w:pPr>
              <w:rPr>
                <w:color w:val="auto"/>
                <w:highlight w:val="none"/>
                <w:vertAlign w:val="baseline"/>
              </w:rPr>
            </w:pPr>
          </w:p>
        </w:tc>
        <w:tc>
          <w:tcPr>
            <w:tcW w:w="1173" w:type="dxa"/>
            <w:noWrap w:val="0"/>
            <w:vAlign w:val="top"/>
          </w:tcPr>
          <w:p w14:paraId="63959899">
            <w:pPr>
              <w:rPr>
                <w:color w:val="auto"/>
                <w:highlight w:val="none"/>
                <w:vertAlign w:val="baseline"/>
              </w:rPr>
            </w:pPr>
          </w:p>
        </w:tc>
        <w:tc>
          <w:tcPr>
            <w:tcW w:w="3010" w:type="dxa"/>
            <w:noWrap w:val="0"/>
            <w:vAlign w:val="top"/>
          </w:tcPr>
          <w:p w14:paraId="76442F48">
            <w:pPr>
              <w:rPr>
                <w:color w:val="auto"/>
                <w:highlight w:val="none"/>
                <w:vertAlign w:val="baseline"/>
              </w:rPr>
            </w:pPr>
          </w:p>
        </w:tc>
      </w:tr>
      <w:tr w14:paraId="20FB0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18" w:type="dxa"/>
            <w:vMerge w:val="continue"/>
            <w:noWrap w:val="0"/>
            <w:vAlign w:val="top"/>
          </w:tcPr>
          <w:p w14:paraId="4F76EFFD">
            <w:pPr>
              <w:rPr>
                <w:color w:val="auto"/>
                <w:highlight w:val="none"/>
                <w:vertAlign w:val="baseline"/>
              </w:rPr>
            </w:pPr>
          </w:p>
        </w:tc>
        <w:tc>
          <w:tcPr>
            <w:tcW w:w="1129" w:type="dxa"/>
            <w:noWrap w:val="0"/>
            <w:vAlign w:val="top"/>
          </w:tcPr>
          <w:p w14:paraId="6E8E0132">
            <w:pPr>
              <w:rPr>
                <w:color w:val="auto"/>
                <w:highlight w:val="none"/>
                <w:vertAlign w:val="baseline"/>
              </w:rPr>
            </w:pPr>
          </w:p>
        </w:tc>
        <w:tc>
          <w:tcPr>
            <w:tcW w:w="1325" w:type="dxa"/>
            <w:noWrap w:val="0"/>
            <w:vAlign w:val="top"/>
          </w:tcPr>
          <w:p w14:paraId="5424D149">
            <w:pPr>
              <w:rPr>
                <w:color w:val="auto"/>
                <w:highlight w:val="none"/>
                <w:vertAlign w:val="baseline"/>
              </w:rPr>
            </w:pPr>
          </w:p>
        </w:tc>
        <w:tc>
          <w:tcPr>
            <w:tcW w:w="1102" w:type="dxa"/>
            <w:noWrap w:val="0"/>
            <w:vAlign w:val="top"/>
          </w:tcPr>
          <w:p w14:paraId="545405C7">
            <w:pPr>
              <w:rPr>
                <w:color w:val="auto"/>
                <w:highlight w:val="none"/>
                <w:vertAlign w:val="baseline"/>
              </w:rPr>
            </w:pPr>
          </w:p>
        </w:tc>
        <w:tc>
          <w:tcPr>
            <w:tcW w:w="1173" w:type="dxa"/>
            <w:noWrap w:val="0"/>
            <w:vAlign w:val="top"/>
          </w:tcPr>
          <w:p w14:paraId="7A4F5A46">
            <w:pPr>
              <w:rPr>
                <w:color w:val="auto"/>
                <w:highlight w:val="none"/>
                <w:vertAlign w:val="baseline"/>
              </w:rPr>
            </w:pPr>
          </w:p>
        </w:tc>
        <w:tc>
          <w:tcPr>
            <w:tcW w:w="3010" w:type="dxa"/>
            <w:noWrap w:val="0"/>
            <w:vAlign w:val="top"/>
          </w:tcPr>
          <w:p w14:paraId="7EBB72A2">
            <w:pPr>
              <w:rPr>
                <w:color w:val="auto"/>
                <w:highlight w:val="none"/>
                <w:vertAlign w:val="baseline"/>
              </w:rPr>
            </w:pPr>
          </w:p>
        </w:tc>
      </w:tr>
      <w:tr w14:paraId="65F5A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18" w:type="dxa"/>
            <w:vMerge w:val="continue"/>
            <w:noWrap w:val="0"/>
            <w:vAlign w:val="top"/>
          </w:tcPr>
          <w:p w14:paraId="31890E3D">
            <w:pPr>
              <w:rPr>
                <w:color w:val="auto"/>
                <w:highlight w:val="none"/>
                <w:vertAlign w:val="baseline"/>
              </w:rPr>
            </w:pPr>
          </w:p>
        </w:tc>
        <w:tc>
          <w:tcPr>
            <w:tcW w:w="1129" w:type="dxa"/>
            <w:noWrap w:val="0"/>
            <w:vAlign w:val="top"/>
          </w:tcPr>
          <w:p w14:paraId="7581A5A4">
            <w:pPr>
              <w:rPr>
                <w:color w:val="auto"/>
                <w:highlight w:val="none"/>
                <w:vertAlign w:val="baseline"/>
              </w:rPr>
            </w:pPr>
          </w:p>
        </w:tc>
        <w:tc>
          <w:tcPr>
            <w:tcW w:w="1325" w:type="dxa"/>
            <w:noWrap w:val="0"/>
            <w:vAlign w:val="top"/>
          </w:tcPr>
          <w:p w14:paraId="45E9CB96">
            <w:pPr>
              <w:rPr>
                <w:color w:val="auto"/>
                <w:highlight w:val="none"/>
                <w:vertAlign w:val="baseline"/>
              </w:rPr>
            </w:pPr>
          </w:p>
        </w:tc>
        <w:tc>
          <w:tcPr>
            <w:tcW w:w="1102" w:type="dxa"/>
            <w:noWrap w:val="0"/>
            <w:vAlign w:val="top"/>
          </w:tcPr>
          <w:p w14:paraId="40E45127">
            <w:pPr>
              <w:rPr>
                <w:color w:val="auto"/>
                <w:highlight w:val="none"/>
                <w:vertAlign w:val="baseline"/>
              </w:rPr>
            </w:pPr>
          </w:p>
        </w:tc>
        <w:tc>
          <w:tcPr>
            <w:tcW w:w="1173" w:type="dxa"/>
            <w:noWrap w:val="0"/>
            <w:vAlign w:val="top"/>
          </w:tcPr>
          <w:p w14:paraId="7EB4377A">
            <w:pPr>
              <w:rPr>
                <w:color w:val="auto"/>
                <w:highlight w:val="none"/>
                <w:vertAlign w:val="baseline"/>
              </w:rPr>
            </w:pPr>
          </w:p>
        </w:tc>
        <w:tc>
          <w:tcPr>
            <w:tcW w:w="3010" w:type="dxa"/>
            <w:noWrap w:val="0"/>
            <w:vAlign w:val="top"/>
          </w:tcPr>
          <w:p w14:paraId="3486A3CA">
            <w:pPr>
              <w:rPr>
                <w:color w:val="auto"/>
                <w:highlight w:val="none"/>
                <w:vertAlign w:val="baseline"/>
              </w:rPr>
            </w:pPr>
          </w:p>
        </w:tc>
      </w:tr>
      <w:tr w14:paraId="3C517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18" w:type="dxa"/>
            <w:vMerge w:val="continue"/>
            <w:noWrap w:val="0"/>
            <w:vAlign w:val="top"/>
          </w:tcPr>
          <w:p w14:paraId="58B22F22">
            <w:pPr>
              <w:rPr>
                <w:color w:val="auto"/>
                <w:highlight w:val="none"/>
                <w:vertAlign w:val="baseline"/>
              </w:rPr>
            </w:pPr>
          </w:p>
        </w:tc>
        <w:tc>
          <w:tcPr>
            <w:tcW w:w="1129" w:type="dxa"/>
            <w:noWrap w:val="0"/>
            <w:vAlign w:val="top"/>
          </w:tcPr>
          <w:p w14:paraId="6EF88B17">
            <w:pPr>
              <w:rPr>
                <w:color w:val="auto"/>
                <w:highlight w:val="none"/>
                <w:vertAlign w:val="baseline"/>
              </w:rPr>
            </w:pPr>
          </w:p>
        </w:tc>
        <w:tc>
          <w:tcPr>
            <w:tcW w:w="1325" w:type="dxa"/>
            <w:noWrap w:val="0"/>
            <w:vAlign w:val="top"/>
          </w:tcPr>
          <w:p w14:paraId="512149F6">
            <w:pPr>
              <w:rPr>
                <w:color w:val="auto"/>
                <w:highlight w:val="none"/>
                <w:vertAlign w:val="baseline"/>
              </w:rPr>
            </w:pPr>
          </w:p>
        </w:tc>
        <w:tc>
          <w:tcPr>
            <w:tcW w:w="1102" w:type="dxa"/>
            <w:noWrap w:val="0"/>
            <w:vAlign w:val="top"/>
          </w:tcPr>
          <w:p w14:paraId="06C96AD1">
            <w:pPr>
              <w:rPr>
                <w:color w:val="auto"/>
                <w:highlight w:val="none"/>
                <w:vertAlign w:val="baseline"/>
              </w:rPr>
            </w:pPr>
          </w:p>
        </w:tc>
        <w:tc>
          <w:tcPr>
            <w:tcW w:w="1173" w:type="dxa"/>
            <w:noWrap w:val="0"/>
            <w:vAlign w:val="top"/>
          </w:tcPr>
          <w:p w14:paraId="6F25BF64">
            <w:pPr>
              <w:rPr>
                <w:color w:val="auto"/>
                <w:highlight w:val="none"/>
                <w:vertAlign w:val="baseline"/>
              </w:rPr>
            </w:pPr>
          </w:p>
        </w:tc>
        <w:tc>
          <w:tcPr>
            <w:tcW w:w="3010" w:type="dxa"/>
            <w:noWrap w:val="0"/>
            <w:vAlign w:val="top"/>
          </w:tcPr>
          <w:p w14:paraId="03C51D27">
            <w:pPr>
              <w:rPr>
                <w:color w:val="auto"/>
                <w:highlight w:val="none"/>
                <w:vertAlign w:val="baseline"/>
              </w:rPr>
            </w:pPr>
          </w:p>
        </w:tc>
      </w:tr>
      <w:tr w14:paraId="3B6DA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18" w:type="dxa"/>
            <w:vMerge w:val="continue"/>
            <w:noWrap w:val="0"/>
            <w:vAlign w:val="top"/>
          </w:tcPr>
          <w:p w14:paraId="27D87BCC">
            <w:pPr>
              <w:rPr>
                <w:color w:val="auto"/>
                <w:highlight w:val="none"/>
                <w:vertAlign w:val="baseline"/>
              </w:rPr>
            </w:pPr>
          </w:p>
        </w:tc>
        <w:tc>
          <w:tcPr>
            <w:tcW w:w="1129" w:type="dxa"/>
            <w:noWrap w:val="0"/>
            <w:vAlign w:val="top"/>
          </w:tcPr>
          <w:p w14:paraId="62C7C8CE">
            <w:pPr>
              <w:rPr>
                <w:color w:val="auto"/>
                <w:highlight w:val="none"/>
                <w:vertAlign w:val="baseline"/>
              </w:rPr>
            </w:pPr>
          </w:p>
        </w:tc>
        <w:tc>
          <w:tcPr>
            <w:tcW w:w="1325" w:type="dxa"/>
            <w:noWrap w:val="0"/>
            <w:vAlign w:val="top"/>
          </w:tcPr>
          <w:p w14:paraId="55517102">
            <w:pPr>
              <w:rPr>
                <w:color w:val="auto"/>
                <w:highlight w:val="none"/>
                <w:vertAlign w:val="baseline"/>
              </w:rPr>
            </w:pPr>
          </w:p>
        </w:tc>
        <w:tc>
          <w:tcPr>
            <w:tcW w:w="1102" w:type="dxa"/>
            <w:noWrap w:val="0"/>
            <w:vAlign w:val="top"/>
          </w:tcPr>
          <w:p w14:paraId="1A59B00B">
            <w:pPr>
              <w:rPr>
                <w:color w:val="auto"/>
                <w:highlight w:val="none"/>
                <w:vertAlign w:val="baseline"/>
              </w:rPr>
            </w:pPr>
          </w:p>
        </w:tc>
        <w:tc>
          <w:tcPr>
            <w:tcW w:w="1173" w:type="dxa"/>
            <w:noWrap w:val="0"/>
            <w:vAlign w:val="top"/>
          </w:tcPr>
          <w:p w14:paraId="3D5CF85B">
            <w:pPr>
              <w:rPr>
                <w:color w:val="auto"/>
                <w:highlight w:val="none"/>
                <w:vertAlign w:val="baseline"/>
              </w:rPr>
            </w:pPr>
          </w:p>
        </w:tc>
        <w:tc>
          <w:tcPr>
            <w:tcW w:w="3010" w:type="dxa"/>
            <w:noWrap w:val="0"/>
            <w:vAlign w:val="top"/>
          </w:tcPr>
          <w:p w14:paraId="34A47032">
            <w:pPr>
              <w:rPr>
                <w:color w:val="auto"/>
                <w:highlight w:val="none"/>
                <w:vertAlign w:val="baseline"/>
              </w:rPr>
            </w:pPr>
          </w:p>
        </w:tc>
      </w:tr>
      <w:tr w14:paraId="06E1F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18" w:type="dxa"/>
            <w:vMerge w:val="continue"/>
            <w:noWrap w:val="0"/>
            <w:vAlign w:val="top"/>
          </w:tcPr>
          <w:p w14:paraId="247A0CAF">
            <w:pPr>
              <w:rPr>
                <w:color w:val="auto"/>
                <w:highlight w:val="none"/>
                <w:vertAlign w:val="baseline"/>
              </w:rPr>
            </w:pPr>
          </w:p>
        </w:tc>
        <w:tc>
          <w:tcPr>
            <w:tcW w:w="1129" w:type="dxa"/>
            <w:noWrap w:val="0"/>
            <w:vAlign w:val="top"/>
          </w:tcPr>
          <w:p w14:paraId="5201797C">
            <w:pPr>
              <w:rPr>
                <w:color w:val="auto"/>
                <w:highlight w:val="none"/>
                <w:vertAlign w:val="baseline"/>
              </w:rPr>
            </w:pPr>
          </w:p>
        </w:tc>
        <w:tc>
          <w:tcPr>
            <w:tcW w:w="1325" w:type="dxa"/>
            <w:noWrap w:val="0"/>
            <w:vAlign w:val="top"/>
          </w:tcPr>
          <w:p w14:paraId="0E5C27CE">
            <w:pPr>
              <w:rPr>
                <w:color w:val="auto"/>
                <w:highlight w:val="none"/>
                <w:vertAlign w:val="baseline"/>
              </w:rPr>
            </w:pPr>
          </w:p>
        </w:tc>
        <w:tc>
          <w:tcPr>
            <w:tcW w:w="1102" w:type="dxa"/>
            <w:noWrap w:val="0"/>
            <w:vAlign w:val="top"/>
          </w:tcPr>
          <w:p w14:paraId="352F5247">
            <w:pPr>
              <w:rPr>
                <w:color w:val="auto"/>
                <w:highlight w:val="none"/>
                <w:vertAlign w:val="baseline"/>
              </w:rPr>
            </w:pPr>
          </w:p>
        </w:tc>
        <w:tc>
          <w:tcPr>
            <w:tcW w:w="1173" w:type="dxa"/>
            <w:noWrap w:val="0"/>
            <w:vAlign w:val="top"/>
          </w:tcPr>
          <w:p w14:paraId="5B5A3354">
            <w:pPr>
              <w:rPr>
                <w:color w:val="auto"/>
                <w:highlight w:val="none"/>
                <w:vertAlign w:val="baseline"/>
              </w:rPr>
            </w:pPr>
          </w:p>
        </w:tc>
        <w:tc>
          <w:tcPr>
            <w:tcW w:w="3010" w:type="dxa"/>
            <w:noWrap w:val="0"/>
            <w:vAlign w:val="top"/>
          </w:tcPr>
          <w:p w14:paraId="3BC8820A">
            <w:pPr>
              <w:rPr>
                <w:color w:val="auto"/>
                <w:highlight w:val="none"/>
                <w:vertAlign w:val="baseline"/>
              </w:rPr>
            </w:pPr>
          </w:p>
        </w:tc>
      </w:tr>
      <w:tr w14:paraId="1135A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118" w:type="dxa"/>
            <w:vMerge w:val="continue"/>
            <w:noWrap w:val="0"/>
            <w:vAlign w:val="top"/>
          </w:tcPr>
          <w:p w14:paraId="397B20C6">
            <w:pPr>
              <w:rPr>
                <w:color w:val="auto"/>
                <w:highlight w:val="none"/>
                <w:vertAlign w:val="baseline"/>
              </w:rPr>
            </w:pPr>
          </w:p>
        </w:tc>
        <w:tc>
          <w:tcPr>
            <w:tcW w:w="1129" w:type="dxa"/>
            <w:noWrap w:val="0"/>
            <w:vAlign w:val="top"/>
          </w:tcPr>
          <w:p w14:paraId="73FE197A">
            <w:pPr>
              <w:rPr>
                <w:color w:val="auto"/>
                <w:highlight w:val="none"/>
                <w:vertAlign w:val="baseline"/>
              </w:rPr>
            </w:pPr>
          </w:p>
        </w:tc>
        <w:tc>
          <w:tcPr>
            <w:tcW w:w="1325" w:type="dxa"/>
            <w:noWrap w:val="0"/>
            <w:vAlign w:val="top"/>
          </w:tcPr>
          <w:p w14:paraId="7559C20D">
            <w:pPr>
              <w:rPr>
                <w:color w:val="auto"/>
                <w:highlight w:val="none"/>
                <w:vertAlign w:val="baseline"/>
              </w:rPr>
            </w:pPr>
          </w:p>
        </w:tc>
        <w:tc>
          <w:tcPr>
            <w:tcW w:w="1102" w:type="dxa"/>
            <w:noWrap w:val="0"/>
            <w:vAlign w:val="top"/>
          </w:tcPr>
          <w:p w14:paraId="75C1610E">
            <w:pPr>
              <w:rPr>
                <w:color w:val="auto"/>
                <w:highlight w:val="none"/>
                <w:vertAlign w:val="baseline"/>
              </w:rPr>
            </w:pPr>
          </w:p>
        </w:tc>
        <w:tc>
          <w:tcPr>
            <w:tcW w:w="1173" w:type="dxa"/>
            <w:noWrap w:val="0"/>
            <w:vAlign w:val="top"/>
          </w:tcPr>
          <w:p w14:paraId="2143EE2B">
            <w:pPr>
              <w:rPr>
                <w:color w:val="auto"/>
                <w:highlight w:val="none"/>
                <w:vertAlign w:val="baseline"/>
              </w:rPr>
            </w:pPr>
          </w:p>
        </w:tc>
        <w:tc>
          <w:tcPr>
            <w:tcW w:w="3010" w:type="dxa"/>
            <w:noWrap w:val="0"/>
            <w:vAlign w:val="top"/>
          </w:tcPr>
          <w:p w14:paraId="10CF504C">
            <w:pPr>
              <w:rPr>
                <w:color w:val="auto"/>
                <w:highlight w:val="none"/>
                <w:vertAlign w:val="baseline"/>
              </w:rPr>
            </w:pPr>
          </w:p>
        </w:tc>
      </w:tr>
    </w:tbl>
    <w:p w14:paraId="10626806">
      <w:pPr>
        <w:rPr>
          <w:color w:val="auto"/>
          <w:highlight w:val="none"/>
        </w:rPr>
      </w:pPr>
    </w:p>
    <w:p w14:paraId="018353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.如有须回避的亲属为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江西数字集团领导班子成员、江西数字集团本部中层干部、江西数字集团二级公司高管人员及本公司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中层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必须在上表中如实填报。</w:t>
      </w:r>
    </w:p>
    <w:p w14:paraId="03E888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2.须回避的亲属关系的范围为: 夫妻关系、直系血亲关系三代以内旁系血亲关系、近姻亲关系。其中，直系血亲关系包括祖父母、外祖父母、父母、子女、孙子女、外孙子女(含:本来无血缘关系，但由法律确认其具有与自然血亲同等的权利义务的亲属，如养父母与养子女、继父母与继子女 ); 三代以内旁系血亲包括伯叔姑舅姨、兄弟姐妹、堂兄弟姐妹、表兄弟姐妹、侄子女、甥子女;近姻亲关系包括:配偶的父母、配偶的兄弟姐妹及其配偶、子女的配偶及子女配偶的父母、三代以内旁系血亲的配偶。</w:t>
      </w:r>
    </w:p>
    <w:p w14:paraId="77F02F6F"/>
    <w:sectPr>
      <w:pgSz w:w="11906" w:h="16838"/>
      <w:pgMar w:top="1440" w:right="1576" w:bottom="1440" w:left="1576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CAFC6AC-2F7B-45C5-A85F-17B31E23FB3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13CC41EA-ED40-431F-B105-91F30D5643A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972192A4-34BE-41DF-A7A6-2CE6F4B8026A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F880B13E-8432-48CB-BF66-001279E120E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3Nzk2YzljNTM0MmZhMWFlYzdiYzczZjU3Yzc0NTEifQ=="/>
  </w:docVars>
  <w:rsids>
    <w:rsidRoot w:val="419E7C49"/>
    <w:rsid w:val="19DA533F"/>
    <w:rsid w:val="19FE63DB"/>
    <w:rsid w:val="3BAE76A2"/>
    <w:rsid w:val="3DF417D8"/>
    <w:rsid w:val="419E7C49"/>
    <w:rsid w:val="482B25A0"/>
    <w:rsid w:val="4AF51B9E"/>
    <w:rsid w:val="4FA904C1"/>
    <w:rsid w:val="522C7AF0"/>
    <w:rsid w:val="76013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idowControl w:val="0"/>
      <w:snapToGrid w:val="0"/>
      <w:spacing w:after="0" w:line="300" w:lineRule="auto"/>
      <w:ind w:firstLine="540"/>
      <w:jc w:val="both"/>
    </w:pPr>
    <w:rPr>
      <w:rFonts w:ascii="仿宋_GB2312" w:hAnsi="Calibri" w:eastAsia="仿宋_GB2312" w:cs="Times New Roman"/>
      <w:kern w:val="0"/>
      <w:sz w:val="21"/>
      <w:szCs w:val="20"/>
      <w:lang w:val="en-US" w:eastAsia="zh-CN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376</Words>
  <Characters>379</Characters>
  <Lines>0</Lines>
  <Paragraphs>0</Paragraphs>
  <TotalTime>0</TotalTime>
  <ScaleCrop>false</ScaleCrop>
  <LinksUpToDate>false</LinksUpToDate>
  <CharactersWithSpaces>382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2024-05-10T08:50:00Z</dcterms:created>
  <dc:creator>陈欣</dc:creator>
  <cp:lastModifiedBy>周婷</cp:lastModifiedBy>
  <dcterms:modified xsi:type="dcterms:W3CDTF">2026-07-02T06:44:16Z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04AF35BAC26C4D1E9999577AB069C4B6_13</vt:lpwstr>
  </property>
  <property fmtid="{D5CDD505-2E9C-101B-9397-08002B2CF9AE}" pid="4" name="KSOTemplateDocerSaveRecord">
    <vt:lpwstr>eyJoZGlkIjoiMDYzMWJhOTQ0ZmIxMTk2NGRmYTdlMTRjZWNhNzNiNTYiLCJ1c2VySWQiOiIyNDg4NzQ5OTEifQ==</vt:lpwstr>
  </property>
</Properties>
</file>