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9E1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2"/>
          <w:szCs w:val="32"/>
          <w:highlight w:val="none"/>
          <w:lang w:val="en-US" w:eastAsia="zh-CN"/>
        </w:rPr>
        <w:t>附件</w:t>
      </w:r>
    </w:p>
    <w:p w14:paraId="775E9594">
      <w:pPr>
        <w:keepNext w:val="0"/>
        <w:keepLines w:val="0"/>
        <w:pageBreakBefore w:val="0"/>
        <w:widowControl w:val="0"/>
        <w:kinsoku/>
        <w:wordWrap/>
        <w:overflowPunct/>
        <w:topLinePunct w:val="0"/>
        <w:autoSpaceDE/>
        <w:autoSpaceDN/>
        <w:bidi w:val="0"/>
        <w:adjustRightInd/>
        <w:snapToGrid/>
        <w:spacing w:line="560" w:lineRule="exact"/>
        <w:ind w:left="1718" w:leftChars="304" w:hanging="1080" w:hangingChars="3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p>
    <w:p w14:paraId="0520A5A7">
      <w:pPr>
        <w:keepNext w:val="0"/>
        <w:keepLines w:val="0"/>
        <w:pageBreakBefore w:val="0"/>
        <w:widowControl w:val="0"/>
        <w:kinsoku/>
        <w:wordWrap/>
        <w:overflowPunct/>
        <w:topLinePunct w:val="0"/>
        <w:autoSpaceDE/>
        <w:autoSpaceDN/>
        <w:bidi w:val="0"/>
        <w:adjustRightInd/>
        <w:snapToGrid/>
        <w:spacing w:line="560" w:lineRule="exact"/>
        <w:ind w:left="1718" w:leftChars="304" w:hanging="1080" w:hangingChars="3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2026年安康高新区管委会下属事业单位公开招聘医学类高层次人才岗位表</w:t>
      </w:r>
    </w:p>
    <w:p w14:paraId="19630996">
      <w:pPr>
        <w:keepNext w:val="0"/>
        <w:keepLines w:val="0"/>
        <w:pageBreakBefore w:val="0"/>
        <w:widowControl w:val="0"/>
        <w:kinsoku/>
        <w:wordWrap/>
        <w:overflowPunct/>
        <w:topLinePunct w:val="0"/>
        <w:autoSpaceDE/>
        <w:autoSpaceDN/>
        <w:bidi w:val="0"/>
        <w:adjustRightInd/>
        <w:snapToGrid/>
        <w:spacing w:line="560" w:lineRule="exact"/>
        <w:ind w:left="1718" w:leftChars="304" w:hanging="1080" w:hangingChars="3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p>
    <w:tbl>
      <w:tblPr>
        <w:tblStyle w:val="5"/>
        <w:tblW w:w="15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760"/>
        <w:gridCol w:w="760"/>
        <w:gridCol w:w="1067"/>
        <w:gridCol w:w="935"/>
        <w:gridCol w:w="889"/>
        <w:gridCol w:w="1326"/>
        <w:gridCol w:w="690"/>
        <w:gridCol w:w="2249"/>
        <w:gridCol w:w="1279"/>
        <w:gridCol w:w="1379"/>
        <w:gridCol w:w="3802"/>
      </w:tblGrid>
      <w:tr w14:paraId="3D9C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709" w:type="dxa"/>
            <w:vMerge w:val="restart"/>
            <w:tcBorders>
              <w:bottom w:val="nil"/>
            </w:tcBorders>
            <w:noWrap w:val="0"/>
            <w:vAlign w:val="center"/>
          </w:tcPr>
          <w:p w14:paraId="4969F793">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760" w:type="dxa"/>
            <w:vMerge w:val="restart"/>
            <w:noWrap w:val="0"/>
            <w:vAlign w:val="center"/>
          </w:tcPr>
          <w:p w14:paraId="1EB7D545">
            <w:pPr>
              <w:pStyle w:val="4"/>
              <w:keepNext w:val="0"/>
              <w:keepLines w:val="0"/>
              <w:pageBreakBefore w:val="0"/>
              <w:wordWrap/>
              <w:overflowPunct/>
              <w:topLinePunct w:val="0"/>
              <w:bidi w:val="0"/>
              <w:spacing w:line="30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主管部门</w:t>
            </w:r>
          </w:p>
        </w:tc>
        <w:tc>
          <w:tcPr>
            <w:tcW w:w="760" w:type="dxa"/>
            <w:vMerge w:val="restart"/>
            <w:tcBorders>
              <w:bottom w:val="nil"/>
            </w:tcBorders>
            <w:noWrap w:val="0"/>
            <w:vAlign w:val="center"/>
          </w:tcPr>
          <w:p w14:paraId="51397C96">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单位</w:t>
            </w:r>
          </w:p>
          <w:p w14:paraId="40C3D056">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名称</w:t>
            </w:r>
          </w:p>
        </w:tc>
        <w:tc>
          <w:tcPr>
            <w:tcW w:w="1067" w:type="dxa"/>
            <w:vMerge w:val="restart"/>
            <w:tcBorders>
              <w:bottom w:val="nil"/>
            </w:tcBorders>
            <w:noWrap w:val="0"/>
            <w:vAlign w:val="center"/>
          </w:tcPr>
          <w:p w14:paraId="466983C6">
            <w:pPr>
              <w:pStyle w:val="4"/>
              <w:keepNext w:val="0"/>
              <w:keepLines w:val="0"/>
              <w:pageBreakBefore w:val="0"/>
              <w:wordWrap/>
              <w:overflowPunct/>
              <w:topLinePunct w:val="0"/>
              <w:bidi w:val="0"/>
              <w:spacing w:line="300" w:lineRule="exact"/>
              <w:ind w:right="155"/>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5"/>
                <w:sz w:val="21"/>
                <w:szCs w:val="21"/>
                <w:highlight w:val="none"/>
              </w:rPr>
              <w:t>单位性质/</w:t>
            </w:r>
            <w:r>
              <w:rPr>
                <w:rFonts w:hint="eastAsia" w:ascii="仿宋_GB2312" w:hAnsi="仿宋_GB2312" w:eastAsia="仿宋_GB2312" w:cs="仿宋_GB2312"/>
                <w:b/>
                <w:bCs/>
                <w:color w:val="auto"/>
                <w:spacing w:val="2"/>
                <w:sz w:val="21"/>
                <w:szCs w:val="21"/>
                <w:highlight w:val="none"/>
              </w:rPr>
              <w:t xml:space="preserve"> </w:t>
            </w:r>
            <w:r>
              <w:rPr>
                <w:rFonts w:hint="eastAsia" w:ascii="仿宋_GB2312" w:hAnsi="仿宋_GB2312" w:eastAsia="仿宋_GB2312" w:cs="仿宋_GB2312"/>
                <w:b/>
                <w:bCs/>
                <w:color w:val="auto"/>
                <w:spacing w:val="-5"/>
                <w:sz w:val="21"/>
                <w:szCs w:val="21"/>
                <w:highlight w:val="none"/>
              </w:rPr>
              <w:t>经费形式</w:t>
            </w:r>
          </w:p>
        </w:tc>
        <w:tc>
          <w:tcPr>
            <w:tcW w:w="935" w:type="dxa"/>
            <w:vMerge w:val="restart"/>
            <w:tcBorders>
              <w:bottom w:val="nil"/>
            </w:tcBorders>
            <w:noWrap w:val="0"/>
            <w:vAlign w:val="center"/>
          </w:tcPr>
          <w:p w14:paraId="49E6AAFC">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2"/>
                <w:sz w:val="21"/>
                <w:szCs w:val="21"/>
                <w:highlight w:val="none"/>
              </w:rPr>
              <w:t>岗位名称</w:t>
            </w:r>
          </w:p>
        </w:tc>
        <w:tc>
          <w:tcPr>
            <w:tcW w:w="889" w:type="dxa"/>
            <w:vMerge w:val="restart"/>
            <w:tcBorders>
              <w:bottom w:val="nil"/>
            </w:tcBorders>
            <w:noWrap w:val="0"/>
            <w:vAlign w:val="center"/>
          </w:tcPr>
          <w:p w14:paraId="32F93AFD">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pacing w:val="4"/>
                <w:sz w:val="21"/>
                <w:szCs w:val="21"/>
                <w:highlight w:val="none"/>
              </w:rPr>
            </w:pPr>
            <w:r>
              <w:rPr>
                <w:rFonts w:hint="eastAsia" w:ascii="仿宋_GB2312" w:hAnsi="仿宋_GB2312" w:eastAsia="仿宋_GB2312" w:cs="仿宋_GB2312"/>
                <w:b/>
                <w:bCs/>
                <w:color w:val="auto"/>
                <w:spacing w:val="4"/>
                <w:sz w:val="21"/>
                <w:szCs w:val="21"/>
                <w:highlight w:val="none"/>
              </w:rPr>
              <w:t>岗位</w:t>
            </w:r>
          </w:p>
          <w:p w14:paraId="1BC1EFD6">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4"/>
                <w:sz w:val="21"/>
                <w:szCs w:val="21"/>
                <w:highlight w:val="none"/>
              </w:rPr>
              <w:t>类别</w:t>
            </w:r>
          </w:p>
        </w:tc>
        <w:tc>
          <w:tcPr>
            <w:tcW w:w="1326" w:type="dxa"/>
            <w:vMerge w:val="restart"/>
            <w:noWrap w:val="0"/>
            <w:vAlign w:val="center"/>
          </w:tcPr>
          <w:p w14:paraId="4823D1D4">
            <w:pPr>
              <w:pStyle w:val="4"/>
              <w:keepNext w:val="0"/>
              <w:keepLines w:val="0"/>
              <w:pageBreakBefore w:val="0"/>
              <w:wordWrap/>
              <w:overflowPunct/>
              <w:topLinePunct w:val="0"/>
              <w:bidi w:val="0"/>
              <w:spacing w:line="300" w:lineRule="exact"/>
              <w:ind w:left="115"/>
              <w:jc w:val="center"/>
              <w:rPr>
                <w:rFonts w:hint="default" w:ascii="仿宋_GB2312" w:hAnsi="仿宋_GB2312" w:eastAsia="仿宋_GB2312" w:cs="仿宋_GB2312"/>
                <w:b/>
                <w:bCs/>
                <w:color w:val="auto"/>
                <w:spacing w:val="-3"/>
                <w:sz w:val="21"/>
                <w:szCs w:val="21"/>
                <w:highlight w:val="none"/>
                <w:lang w:val="en-US" w:eastAsia="zh-CN"/>
              </w:rPr>
            </w:pPr>
            <w:r>
              <w:rPr>
                <w:rFonts w:hint="eastAsia" w:ascii="仿宋_GB2312" w:hAnsi="仿宋_GB2312" w:eastAsia="仿宋_GB2312" w:cs="仿宋_GB2312"/>
                <w:b/>
                <w:bCs/>
                <w:color w:val="auto"/>
                <w:spacing w:val="-3"/>
                <w:sz w:val="21"/>
                <w:szCs w:val="21"/>
                <w:highlight w:val="none"/>
                <w:lang w:val="en-US" w:eastAsia="zh-CN"/>
              </w:rPr>
              <w:t>岗位等级</w:t>
            </w:r>
          </w:p>
        </w:tc>
        <w:tc>
          <w:tcPr>
            <w:tcW w:w="690" w:type="dxa"/>
            <w:vMerge w:val="restart"/>
            <w:tcBorders>
              <w:bottom w:val="nil"/>
            </w:tcBorders>
            <w:noWrap w:val="0"/>
            <w:vAlign w:val="center"/>
          </w:tcPr>
          <w:p w14:paraId="4F0CCDD6">
            <w:pPr>
              <w:pStyle w:val="4"/>
              <w:keepNext w:val="0"/>
              <w:keepLines w:val="0"/>
              <w:pageBreakBefore w:val="0"/>
              <w:wordWrap/>
              <w:overflowPunct/>
              <w:topLinePunct w:val="0"/>
              <w:bidi w:val="0"/>
              <w:spacing w:line="300" w:lineRule="exact"/>
              <w:ind w:left="115"/>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3"/>
                <w:sz w:val="21"/>
                <w:szCs w:val="21"/>
                <w:highlight w:val="none"/>
              </w:rPr>
              <w:t>招聘</w:t>
            </w:r>
          </w:p>
          <w:p w14:paraId="2403A70C">
            <w:pPr>
              <w:pStyle w:val="4"/>
              <w:keepNext w:val="0"/>
              <w:keepLines w:val="0"/>
              <w:pageBreakBefore w:val="0"/>
              <w:wordWrap/>
              <w:overflowPunct/>
              <w:topLinePunct w:val="0"/>
              <w:bidi w:val="0"/>
              <w:spacing w:line="300" w:lineRule="exact"/>
              <w:ind w:left="115"/>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3"/>
                <w:sz w:val="21"/>
                <w:szCs w:val="21"/>
                <w:highlight w:val="none"/>
              </w:rPr>
              <w:t>人数</w:t>
            </w:r>
          </w:p>
        </w:tc>
        <w:tc>
          <w:tcPr>
            <w:tcW w:w="8709" w:type="dxa"/>
            <w:gridSpan w:val="4"/>
            <w:noWrap w:val="0"/>
            <w:vAlign w:val="center"/>
          </w:tcPr>
          <w:p w14:paraId="256B056F">
            <w:pPr>
              <w:pStyle w:val="4"/>
              <w:keepNext w:val="0"/>
              <w:keepLines w:val="0"/>
              <w:pageBreakBefore w:val="0"/>
              <w:wordWrap/>
              <w:overflowPunct/>
              <w:topLinePunct w:val="0"/>
              <w:bidi w:val="0"/>
              <w:spacing w:line="300" w:lineRule="exact"/>
              <w:ind w:left="3315"/>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招聘岗位所需资格条件</w:t>
            </w:r>
          </w:p>
        </w:tc>
      </w:tr>
      <w:tr w14:paraId="7E3E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09" w:type="dxa"/>
            <w:vMerge w:val="continue"/>
            <w:tcBorders>
              <w:top w:val="nil"/>
            </w:tcBorders>
            <w:noWrap w:val="0"/>
            <w:textDirection w:val="tbRlV"/>
            <w:vAlign w:val="center"/>
          </w:tcPr>
          <w:p w14:paraId="57AB4CCE">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760" w:type="dxa"/>
            <w:vMerge w:val="continue"/>
            <w:noWrap w:val="0"/>
            <w:vAlign w:val="center"/>
          </w:tcPr>
          <w:p w14:paraId="42F2314C">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760" w:type="dxa"/>
            <w:vMerge w:val="continue"/>
            <w:tcBorders>
              <w:top w:val="nil"/>
            </w:tcBorders>
            <w:noWrap w:val="0"/>
            <w:vAlign w:val="center"/>
          </w:tcPr>
          <w:p w14:paraId="45980EF3">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1067" w:type="dxa"/>
            <w:vMerge w:val="continue"/>
            <w:tcBorders>
              <w:top w:val="nil"/>
            </w:tcBorders>
            <w:noWrap w:val="0"/>
            <w:vAlign w:val="center"/>
          </w:tcPr>
          <w:p w14:paraId="4DF8C519">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935" w:type="dxa"/>
            <w:vMerge w:val="continue"/>
            <w:tcBorders>
              <w:top w:val="nil"/>
            </w:tcBorders>
            <w:noWrap w:val="0"/>
            <w:vAlign w:val="center"/>
          </w:tcPr>
          <w:p w14:paraId="485C8B4E">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889" w:type="dxa"/>
            <w:vMerge w:val="continue"/>
            <w:tcBorders>
              <w:top w:val="nil"/>
            </w:tcBorders>
            <w:noWrap w:val="0"/>
            <w:vAlign w:val="center"/>
          </w:tcPr>
          <w:p w14:paraId="24F0A81F">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1326" w:type="dxa"/>
            <w:vMerge w:val="continue"/>
            <w:noWrap w:val="0"/>
            <w:vAlign w:val="center"/>
          </w:tcPr>
          <w:p w14:paraId="0B412FFD">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690" w:type="dxa"/>
            <w:vMerge w:val="continue"/>
            <w:tcBorders>
              <w:top w:val="nil"/>
            </w:tcBorders>
            <w:noWrap w:val="0"/>
            <w:vAlign w:val="center"/>
          </w:tcPr>
          <w:p w14:paraId="224E9B92">
            <w:pPr>
              <w:keepNext w:val="0"/>
              <w:keepLines w:val="0"/>
              <w:pageBreakBefore w:val="0"/>
              <w:wordWrap/>
              <w:overflowPunct/>
              <w:topLinePunct w:val="0"/>
              <w:bidi w:val="0"/>
              <w:spacing w:line="300" w:lineRule="exact"/>
              <w:jc w:val="center"/>
              <w:rPr>
                <w:rFonts w:hint="eastAsia" w:ascii="仿宋_GB2312" w:hAnsi="仿宋_GB2312" w:eastAsia="仿宋_GB2312" w:cs="仿宋_GB2312"/>
                <w:b/>
                <w:bCs/>
                <w:color w:val="auto"/>
                <w:sz w:val="21"/>
                <w:szCs w:val="21"/>
                <w:highlight w:val="none"/>
              </w:rPr>
            </w:pPr>
          </w:p>
        </w:tc>
        <w:tc>
          <w:tcPr>
            <w:tcW w:w="2249" w:type="dxa"/>
            <w:noWrap w:val="0"/>
            <w:vAlign w:val="center"/>
          </w:tcPr>
          <w:p w14:paraId="654682F3">
            <w:pPr>
              <w:pStyle w:val="4"/>
              <w:keepNext w:val="0"/>
              <w:keepLines w:val="0"/>
              <w:pageBreakBefore w:val="0"/>
              <w:wordWrap/>
              <w:overflowPunct/>
              <w:topLinePunct w:val="0"/>
              <w:bidi w:val="0"/>
              <w:spacing w:line="300" w:lineRule="exact"/>
              <w:ind w:left="345"/>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1"/>
                <w:sz w:val="21"/>
                <w:szCs w:val="21"/>
                <w:highlight w:val="none"/>
              </w:rPr>
              <w:t>专业代码及名称</w:t>
            </w:r>
          </w:p>
        </w:tc>
        <w:tc>
          <w:tcPr>
            <w:tcW w:w="1279" w:type="dxa"/>
            <w:noWrap w:val="0"/>
            <w:vAlign w:val="center"/>
          </w:tcPr>
          <w:p w14:paraId="5E5F80F1">
            <w:pPr>
              <w:pStyle w:val="4"/>
              <w:keepNext w:val="0"/>
              <w:keepLines w:val="0"/>
              <w:pageBreakBefore w:val="0"/>
              <w:wordWrap/>
              <w:overflowPunct/>
              <w:topLinePunct w:val="0"/>
              <w:bidi w:val="0"/>
              <w:spacing w:line="300" w:lineRule="exact"/>
              <w:ind w:left="416"/>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7"/>
                <w:sz w:val="21"/>
                <w:szCs w:val="21"/>
                <w:highlight w:val="none"/>
              </w:rPr>
              <w:t>学历</w:t>
            </w:r>
          </w:p>
        </w:tc>
        <w:tc>
          <w:tcPr>
            <w:tcW w:w="1379" w:type="dxa"/>
            <w:noWrap w:val="0"/>
            <w:vAlign w:val="center"/>
          </w:tcPr>
          <w:p w14:paraId="47DE40EE">
            <w:pPr>
              <w:pStyle w:val="4"/>
              <w:keepNext w:val="0"/>
              <w:keepLines w:val="0"/>
              <w:pageBreakBefore w:val="0"/>
              <w:wordWrap/>
              <w:overflowPunct/>
              <w:topLinePunct w:val="0"/>
              <w:bidi w:val="0"/>
              <w:spacing w:line="300" w:lineRule="exact"/>
              <w:ind w:left="467"/>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4"/>
                <w:sz w:val="21"/>
                <w:szCs w:val="21"/>
                <w:highlight w:val="none"/>
              </w:rPr>
              <w:t>学位</w:t>
            </w:r>
          </w:p>
        </w:tc>
        <w:tc>
          <w:tcPr>
            <w:tcW w:w="3802" w:type="dxa"/>
            <w:noWrap w:val="0"/>
            <w:vAlign w:val="center"/>
          </w:tcPr>
          <w:p w14:paraId="78536358">
            <w:pPr>
              <w:pStyle w:val="4"/>
              <w:keepNext w:val="0"/>
              <w:keepLines w:val="0"/>
              <w:pageBreakBefore w:val="0"/>
              <w:wordWrap/>
              <w:overflowPunct/>
              <w:topLinePunct w:val="0"/>
              <w:bidi w:val="0"/>
              <w:spacing w:line="300" w:lineRule="exact"/>
              <w:ind w:left="1461"/>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pacing w:val="-5"/>
                <w:sz w:val="21"/>
                <w:szCs w:val="21"/>
                <w:highlight w:val="none"/>
              </w:rPr>
              <w:t>其他要求</w:t>
            </w:r>
          </w:p>
        </w:tc>
      </w:tr>
      <w:tr w14:paraId="3198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9" w:type="dxa"/>
            <w:noWrap w:val="0"/>
            <w:vAlign w:val="center"/>
          </w:tcPr>
          <w:p w14:paraId="6FE9FA90">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760" w:type="dxa"/>
            <w:vMerge w:val="restart"/>
            <w:noWrap w:val="0"/>
            <w:vAlign w:val="center"/>
          </w:tcPr>
          <w:p w14:paraId="181F12FA">
            <w:pPr>
              <w:pStyle w:val="4"/>
              <w:keepNext w:val="0"/>
              <w:keepLines w:val="0"/>
              <w:pageBreakBefore w:val="0"/>
              <w:wordWrap/>
              <w:overflowPunct/>
              <w:topLinePunct w:val="0"/>
              <w:bidi w:val="0"/>
              <w:spacing w:line="300" w:lineRule="exact"/>
              <w:ind w:right="139"/>
              <w:jc w:val="center"/>
              <w:rPr>
                <w:rFonts w:hint="default" w:ascii="仿宋_GB2312" w:hAnsi="仿宋_GB2312" w:eastAsia="仿宋_GB2312" w:cs="仿宋_GB2312"/>
                <w:color w:val="auto"/>
                <w:spacing w:val="1"/>
                <w:sz w:val="21"/>
                <w:szCs w:val="21"/>
                <w:highlight w:val="none"/>
                <w:lang w:val="en-US" w:eastAsia="zh-CN"/>
              </w:rPr>
            </w:pPr>
            <w:r>
              <w:rPr>
                <w:rFonts w:hint="eastAsia" w:ascii="仿宋_GB2312" w:hAnsi="仿宋_GB2312" w:eastAsia="仿宋_GB2312" w:cs="仿宋_GB2312"/>
                <w:color w:val="auto"/>
                <w:spacing w:val="1"/>
                <w:sz w:val="21"/>
                <w:szCs w:val="21"/>
                <w:highlight w:val="none"/>
                <w:lang w:val="en-US" w:eastAsia="zh-CN"/>
              </w:rPr>
              <w:t>安康高新区管委会</w:t>
            </w:r>
          </w:p>
        </w:tc>
        <w:tc>
          <w:tcPr>
            <w:tcW w:w="760" w:type="dxa"/>
            <w:vMerge w:val="restart"/>
            <w:tcBorders>
              <w:bottom w:val="nil"/>
            </w:tcBorders>
            <w:noWrap w:val="0"/>
            <w:vAlign w:val="center"/>
          </w:tcPr>
          <w:p w14:paraId="57517B7D">
            <w:pPr>
              <w:pStyle w:val="4"/>
              <w:keepNext w:val="0"/>
              <w:keepLines w:val="0"/>
              <w:pageBreakBefore w:val="0"/>
              <w:wordWrap/>
              <w:overflowPunct/>
              <w:topLinePunct w:val="0"/>
              <w:bidi w:val="0"/>
              <w:spacing w:line="300" w:lineRule="exact"/>
              <w:ind w:right="139"/>
              <w:jc w:val="center"/>
              <w:rPr>
                <w:rFonts w:hint="eastAsia" w:ascii="仿宋_GB2312" w:hAnsi="仿宋_GB2312" w:eastAsia="仿宋_GB2312" w:cs="仿宋_GB2312"/>
                <w:color w:val="auto"/>
                <w:spacing w:val="1"/>
                <w:sz w:val="21"/>
                <w:szCs w:val="21"/>
                <w:highlight w:val="none"/>
                <w:lang w:val="en-US" w:eastAsia="zh-CN"/>
              </w:rPr>
            </w:pPr>
            <w:r>
              <w:rPr>
                <w:rFonts w:hint="eastAsia" w:ascii="仿宋_GB2312" w:hAnsi="仿宋_GB2312" w:eastAsia="仿宋_GB2312" w:cs="仿宋_GB2312"/>
                <w:color w:val="auto"/>
                <w:spacing w:val="1"/>
                <w:sz w:val="21"/>
                <w:szCs w:val="21"/>
                <w:highlight w:val="none"/>
                <w:lang w:val="en-US" w:eastAsia="zh-CN"/>
              </w:rPr>
              <w:t>安康市高新医院</w:t>
            </w:r>
          </w:p>
        </w:tc>
        <w:tc>
          <w:tcPr>
            <w:tcW w:w="1067" w:type="dxa"/>
            <w:vMerge w:val="restart"/>
            <w:tcBorders>
              <w:bottom w:val="nil"/>
            </w:tcBorders>
            <w:noWrap w:val="0"/>
            <w:vAlign w:val="center"/>
          </w:tcPr>
          <w:p w14:paraId="420CB77D">
            <w:pPr>
              <w:pStyle w:val="4"/>
              <w:keepNext w:val="0"/>
              <w:keepLines w:val="0"/>
              <w:pageBreakBefore w:val="0"/>
              <w:wordWrap/>
              <w:overflowPunct/>
              <w:topLinePunct w:val="0"/>
              <w:bidi w:val="0"/>
              <w:spacing w:line="300" w:lineRule="exact"/>
              <w:ind w:right="139"/>
              <w:jc w:val="center"/>
              <w:rPr>
                <w:rFonts w:hint="eastAsia" w:ascii="仿宋_GB2312" w:hAnsi="仿宋_GB2312" w:eastAsia="仿宋_GB2312" w:cs="仿宋_GB2312"/>
                <w:color w:val="auto"/>
                <w:spacing w:val="1"/>
                <w:sz w:val="21"/>
                <w:szCs w:val="21"/>
                <w:highlight w:val="none"/>
              </w:rPr>
            </w:pPr>
            <w:r>
              <w:rPr>
                <w:rFonts w:hint="eastAsia" w:ascii="仿宋_GB2312" w:hAnsi="仿宋_GB2312" w:eastAsia="仿宋_GB2312" w:cs="仿宋_GB2312"/>
                <w:color w:val="auto"/>
                <w:spacing w:val="1"/>
                <w:sz w:val="21"/>
                <w:szCs w:val="21"/>
                <w:highlight w:val="none"/>
              </w:rPr>
              <w:t>公益二类/ 差额拨款</w:t>
            </w:r>
          </w:p>
        </w:tc>
        <w:tc>
          <w:tcPr>
            <w:tcW w:w="935" w:type="dxa"/>
            <w:noWrap w:val="0"/>
            <w:vAlign w:val="center"/>
          </w:tcPr>
          <w:p w14:paraId="6E90FFBE">
            <w:pPr>
              <w:pStyle w:val="4"/>
              <w:keepNext w:val="0"/>
              <w:keepLines w:val="0"/>
              <w:pageBreakBefore w:val="0"/>
              <w:widowControl/>
              <w:kinsoku w:val="0"/>
              <w:wordWrap/>
              <w:overflowPunct/>
              <w:topLinePunct w:val="0"/>
              <w:bidi w:val="0"/>
              <w:adjustRightInd w:val="0"/>
              <w:snapToGrid w:val="0"/>
              <w:spacing w:line="300" w:lineRule="exact"/>
              <w:ind w:right="84"/>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耳鼻喉头颈外科</w:t>
            </w:r>
          </w:p>
        </w:tc>
        <w:tc>
          <w:tcPr>
            <w:tcW w:w="889" w:type="dxa"/>
            <w:noWrap w:val="0"/>
            <w:vAlign w:val="center"/>
          </w:tcPr>
          <w:p w14:paraId="100FFA57">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0D9941EF">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6635550B">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249" w:type="dxa"/>
            <w:noWrap w:val="0"/>
            <w:vAlign w:val="center"/>
          </w:tcPr>
          <w:p w14:paraId="13B456AF">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100201临床医学</w:t>
            </w:r>
          </w:p>
        </w:tc>
        <w:tc>
          <w:tcPr>
            <w:tcW w:w="1279" w:type="dxa"/>
            <w:noWrap w:val="0"/>
            <w:vAlign w:val="center"/>
          </w:tcPr>
          <w:p w14:paraId="5D47A4F2">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3D129C16">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4FF711D3">
            <w:pPr>
              <w:pStyle w:val="4"/>
              <w:keepNext w:val="0"/>
              <w:keepLines w:val="0"/>
              <w:pageBreakBefore w:val="0"/>
              <w:widowControl/>
              <w:kinsoku w:val="0"/>
              <w:wordWrap/>
              <w:overflowPunct/>
              <w:topLinePunct w:val="0"/>
              <w:bidi w:val="0"/>
              <w:adjustRightInd w:val="0"/>
              <w:snapToGrid w:val="0"/>
              <w:spacing w:line="300" w:lineRule="exact"/>
              <w:ind w:left="28"/>
              <w:jc w:val="center"/>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r w14:paraId="371BB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709" w:type="dxa"/>
            <w:noWrap w:val="0"/>
            <w:vAlign w:val="center"/>
          </w:tcPr>
          <w:p w14:paraId="04F1C11C">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760" w:type="dxa"/>
            <w:vMerge w:val="continue"/>
            <w:noWrap w:val="0"/>
            <w:vAlign w:val="center"/>
          </w:tcPr>
          <w:p w14:paraId="5F579C98">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760" w:type="dxa"/>
            <w:vMerge w:val="continue"/>
            <w:tcBorders>
              <w:top w:val="nil"/>
              <w:bottom w:val="nil"/>
            </w:tcBorders>
            <w:noWrap w:val="0"/>
            <w:vAlign w:val="center"/>
          </w:tcPr>
          <w:p w14:paraId="0A230008">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1067" w:type="dxa"/>
            <w:vMerge w:val="continue"/>
            <w:tcBorders>
              <w:top w:val="nil"/>
              <w:bottom w:val="nil"/>
            </w:tcBorders>
            <w:noWrap w:val="0"/>
            <w:vAlign w:val="center"/>
          </w:tcPr>
          <w:p w14:paraId="37A12F4A">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935" w:type="dxa"/>
            <w:noWrap w:val="0"/>
            <w:vAlign w:val="center"/>
          </w:tcPr>
          <w:p w14:paraId="1F7BE831">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眼科</w:t>
            </w:r>
          </w:p>
        </w:tc>
        <w:tc>
          <w:tcPr>
            <w:tcW w:w="889" w:type="dxa"/>
            <w:noWrap w:val="0"/>
            <w:vAlign w:val="center"/>
          </w:tcPr>
          <w:p w14:paraId="49E3B029">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33401E75">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08633188">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249" w:type="dxa"/>
            <w:noWrap w:val="0"/>
            <w:vAlign w:val="center"/>
          </w:tcPr>
          <w:p w14:paraId="0C013CBC">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100201临床医学</w:t>
            </w:r>
          </w:p>
        </w:tc>
        <w:tc>
          <w:tcPr>
            <w:tcW w:w="1279" w:type="dxa"/>
            <w:noWrap w:val="0"/>
            <w:vAlign w:val="center"/>
          </w:tcPr>
          <w:p w14:paraId="37E515F6">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0BB4C02A">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042CA28F">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r w14:paraId="0831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709" w:type="dxa"/>
            <w:noWrap w:val="0"/>
            <w:vAlign w:val="center"/>
          </w:tcPr>
          <w:p w14:paraId="5423B12B">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c>
          <w:tcPr>
            <w:tcW w:w="760" w:type="dxa"/>
            <w:vMerge w:val="continue"/>
            <w:noWrap w:val="0"/>
            <w:vAlign w:val="center"/>
          </w:tcPr>
          <w:p w14:paraId="00457994">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760" w:type="dxa"/>
            <w:vMerge w:val="continue"/>
            <w:tcBorders>
              <w:top w:val="nil"/>
              <w:bottom w:val="nil"/>
            </w:tcBorders>
            <w:noWrap w:val="0"/>
            <w:vAlign w:val="center"/>
          </w:tcPr>
          <w:p w14:paraId="424160FA">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1067" w:type="dxa"/>
            <w:vMerge w:val="continue"/>
            <w:tcBorders>
              <w:top w:val="nil"/>
              <w:bottom w:val="nil"/>
            </w:tcBorders>
            <w:noWrap w:val="0"/>
            <w:vAlign w:val="center"/>
          </w:tcPr>
          <w:p w14:paraId="73E4E421">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935" w:type="dxa"/>
            <w:noWrap w:val="0"/>
            <w:vAlign w:val="center"/>
          </w:tcPr>
          <w:p w14:paraId="7738CEA4">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消化内科</w:t>
            </w:r>
          </w:p>
        </w:tc>
        <w:tc>
          <w:tcPr>
            <w:tcW w:w="889" w:type="dxa"/>
            <w:noWrap w:val="0"/>
            <w:vAlign w:val="center"/>
          </w:tcPr>
          <w:p w14:paraId="1F89ECBD">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62A51A12">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2851E0C2">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249" w:type="dxa"/>
            <w:noWrap w:val="0"/>
            <w:vAlign w:val="center"/>
          </w:tcPr>
          <w:p w14:paraId="5EE944C4">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100201临床医学</w:t>
            </w:r>
          </w:p>
        </w:tc>
        <w:tc>
          <w:tcPr>
            <w:tcW w:w="1279" w:type="dxa"/>
            <w:noWrap w:val="0"/>
            <w:vAlign w:val="center"/>
          </w:tcPr>
          <w:p w14:paraId="73928AFE">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42D91725">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4E6CEF1B">
            <w:pPr>
              <w:pStyle w:val="4"/>
              <w:keepNext w:val="0"/>
              <w:keepLines w:val="0"/>
              <w:pageBreakBefore w:val="0"/>
              <w:widowControl/>
              <w:kinsoku w:val="0"/>
              <w:wordWrap/>
              <w:overflowPunct/>
              <w:topLinePunct w:val="0"/>
              <w:bidi w:val="0"/>
              <w:adjustRightInd w:val="0"/>
              <w:snapToGrid w:val="0"/>
              <w:spacing w:line="300" w:lineRule="exact"/>
              <w:ind w:left="28"/>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r w14:paraId="079BD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709" w:type="dxa"/>
            <w:noWrap w:val="0"/>
            <w:vAlign w:val="center"/>
          </w:tcPr>
          <w:p w14:paraId="58D959D0">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760" w:type="dxa"/>
            <w:vMerge w:val="continue"/>
            <w:noWrap w:val="0"/>
            <w:vAlign w:val="center"/>
          </w:tcPr>
          <w:p w14:paraId="2CE841B5">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760" w:type="dxa"/>
            <w:vMerge w:val="continue"/>
            <w:tcBorders>
              <w:top w:val="nil"/>
              <w:bottom w:val="nil"/>
            </w:tcBorders>
            <w:noWrap w:val="0"/>
            <w:vAlign w:val="center"/>
          </w:tcPr>
          <w:p w14:paraId="6FAE1165">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1067" w:type="dxa"/>
            <w:vMerge w:val="continue"/>
            <w:tcBorders>
              <w:top w:val="nil"/>
              <w:bottom w:val="nil"/>
            </w:tcBorders>
            <w:noWrap w:val="0"/>
            <w:vAlign w:val="center"/>
          </w:tcPr>
          <w:p w14:paraId="53F7E391">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935" w:type="dxa"/>
            <w:noWrap w:val="0"/>
            <w:vAlign w:val="center"/>
          </w:tcPr>
          <w:p w14:paraId="2367AFB8">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内分泌科</w:t>
            </w:r>
          </w:p>
        </w:tc>
        <w:tc>
          <w:tcPr>
            <w:tcW w:w="889" w:type="dxa"/>
            <w:noWrap w:val="0"/>
            <w:vAlign w:val="center"/>
          </w:tcPr>
          <w:p w14:paraId="61D87F4F">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40A3AFB3">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2953913A">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249" w:type="dxa"/>
            <w:noWrap w:val="0"/>
            <w:vAlign w:val="center"/>
          </w:tcPr>
          <w:p w14:paraId="70146038">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100201临床医学</w:t>
            </w:r>
          </w:p>
        </w:tc>
        <w:tc>
          <w:tcPr>
            <w:tcW w:w="1279" w:type="dxa"/>
            <w:noWrap w:val="0"/>
            <w:vAlign w:val="center"/>
          </w:tcPr>
          <w:p w14:paraId="4662EB7F">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6C801207">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7804B3F4">
            <w:pPr>
              <w:pStyle w:val="4"/>
              <w:keepNext w:val="0"/>
              <w:keepLines w:val="0"/>
              <w:pageBreakBefore w:val="0"/>
              <w:widowControl/>
              <w:kinsoku w:val="0"/>
              <w:wordWrap/>
              <w:overflowPunct/>
              <w:topLinePunct w:val="0"/>
              <w:bidi w:val="0"/>
              <w:adjustRightInd w:val="0"/>
              <w:snapToGrid w:val="0"/>
              <w:spacing w:line="300" w:lineRule="exact"/>
              <w:ind w:left="28"/>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r w14:paraId="548C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709" w:type="dxa"/>
            <w:noWrap w:val="0"/>
            <w:vAlign w:val="center"/>
          </w:tcPr>
          <w:p w14:paraId="6C7ACBCC">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760" w:type="dxa"/>
            <w:vMerge w:val="continue"/>
            <w:noWrap w:val="0"/>
            <w:vAlign w:val="center"/>
          </w:tcPr>
          <w:p w14:paraId="7E2ADD32">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760" w:type="dxa"/>
            <w:vMerge w:val="continue"/>
            <w:tcBorders>
              <w:top w:val="nil"/>
              <w:bottom w:val="nil"/>
            </w:tcBorders>
            <w:noWrap w:val="0"/>
            <w:vAlign w:val="center"/>
          </w:tcPr>
          <w:p w14:paraId="5A786138">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1067" w:type="dxa"/>
            <w:vMerge w:val="continue"/>
            <w:tcBorders>
              <w:top w:val="nil"/>
              <w:bottom w:val="nil"/>
            </w:tcBorders>
            <w:noWrap w:val="0"/>
            <w:vAlign w:val="center"/>
          </w:tcPr>
          <w:p w14:paraId="423901FE">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935" w:type="dxa"/>
            <w:noWrap w:val="0"/>
            <w:vAlign w:val="center"/>
          </w:tcPr>
          <w:p w14:paraId="2A0FBD66">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胸外科</w:t>
            </w:r>
          </w:p>
        </w:tc>
        <w:tc>
          <w:tcPr>
            <w:tcW w:w="889" w:type="dxa"/>
            <w:noWrap w:val="0"/>
            <w:vAlign w:val="center"/>
          </w:tcPr>
          <w:p w14:paraId="7D3552A7">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71878344">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6876A1AC">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249" w:type="dxa"/>
            <w:noWrap w:val="0"/>
            <w:vAlign w:val="center"/>
          </w:tcPr>
          <w:p w14:paraId="23D6474B">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100201临床医学</w:t>
            </w:r>
          </w:p>
        </w:tc>
        <w:tc>
          <w:tcPr>
            <w:tcW w:w="1279" w:type="dxa"/>
            <w:noWrap w:val="0"/>
            <w:vAlign w:val="center"/>
          </w:tcPr>
          <w:p w14:paraId="4AE5326C">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632C9452">
            <w:pPr>
              <w:pStyle w:val="4"/>
              <w:keepNext w:val="0"/>
              <w:keepLines w:val="0"/>
              <w:pageBreakBefore w:val="0"/>
              <w:widowControl/>
              <w:kinsoku w:val="0"/>
              <w:wordWrap/>
              <w:overflowPunct/>
              <w:topLinePunct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3A04EBA5">
            <w:pPr>
              <w:pStyle w:val="4"/>
              <w:keepNext w:val="0"/>
              <w:keepLines w:val="0"/>
              <w:pageBreakBefore w:val="0"/>
              <w:widowControl/>
              <w:kinsoku w:val="0"/>
              <w:wordWrap/>
              <w:overflowPunct/>
              <w:topLinePunct w:val="0"/>
              <w:bidi w:val="0"/>
              <w:adjustRightInd w:val="0"/>
              <w:snapToGrid w:val="0"/>
              <w:spacing w:line="300" w:lineRule="exact"/>
              <w:ind w:left="28"/>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r w14:paraId="1B10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709" w:type="dxa"/>
            <w:noWrap w:val="0"/>
            <w:vAlign w:val="center"/>
          </w:tcPr>
          <w:p w14:paraId="6F62E56F">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6</w:t>
            </w:r>
          </w:p>
        </w:tc>
        <w:tc>
          <w:tcPr>
            <w:tcW w:w="760" w:type="dxa"/>
            <w:vMerge w:val="continue"/>
            <w:noWrap w:val="0"/>
            <w:vAlign w:val="center"/>
          </w:tcPr>
          <w:p w14:paraId="55EFA215">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760" w:type="dxa"/>
            <w:vMerge w:val="continue"/>
            <w:tcBorders>
              <w:top w:val="nil"/>
            </w:tcBorders>
            <w:noWrap w:val="0"/>
            <w:vAlign w:val="center"/>
          </w:tcPr>
          <w:p w14:paraId="18F13849">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1067" w:type="dxa"/>
            <w:vMerge w:val="continue"/>
            <w:tcBorders>
              <w:top w:val="nil"/>
            </w:tcBorders>
            <w:noWrap w:val="0"/>
            <w:vAlign w:val="center"/>
          </w:tcPr>
          <w:p w14:paraId="6FD46577">
            <w:pPr>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p>
        </w:tc>
        <w:tc>
          <w:tcPr>
            <w:tcW w:w="935" w:type="dxa"/>
            <w:noWrap w:val="0"/>
            <w:vAlign w:val="center"/>
          </w:tcPr>
          <w:p w14:paraId="560735B8">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口腔科</w:t>
            </w:r>
          </w:p>
        </w:tc>
        <w:tc>
          <w:tcPr>
            <w:tcW w:w="889" w:type="dxa"/>
            <w:noWrap w:val="0"/>
            <w:vAlign w:val="center"/>
          </w:tcPr>
          <w:p w14:paraId="12D7BDBF">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专技</w:t>
            </w:r>
          </w:p>
        </w:tc>
        <w:tc>
          <w:tcPr>
            <w:tcW w:w="1326" w:type="dxa"/>
            <w:noWrap w:val="0"/>
            <w:vAlign w:val="center"/>
          </w:tcPr>
          <w:p w14:paraId="58D50B87">
            <w:pPr>
              <w:pStyle w:val="4"/>
              <w:keepNext w:val="0"/>
              <w:keepLines w:val="0"/>
              <w:pageBreakBefore w:val="0"/>
              <w:tabs>
                <w:tab w:val="center" w:pos="340"/>
              </w:tabs>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专业技术七级及以下岗位</w:t>
            </w:r>
          </w:p>
        </w:tc>
        <w:tc>
          <w:tcPr>
            <w:tcW w:w="690" w:type="dxa"/>
            <w:noWrap w:val="0"/>
            <w:vAlign w:val="center"/>
          </w:tcPr>
          <w:p w14:paraId="0CA0FFAC">
            <w:pPr>
              <w:pStyle w:val="4"/>
              <w:keepNext w:val="0"/>
              <w:keepLines w:val="0"/>
              <w:pageBreakBefore w:val="0"/>
              <w:tabs>
                <w:tab w:val="center" w:pos="340"/>
              </w:tabs>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249" w:type="dxa"/>
            <w:noWrap w:val="0"/>
            <w:vAlign w:val="center"/>
          </w:tcPr>
          <w:p w14:paraId="38EAA0B4">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9"/>
                <w:sz w:val="21"/>
                <w:szCs w:val="21"/>
                <w:highlight w:val="none"/>
              </w:rPr>
              <w:t>100201临床医学、</w:t>
            </w:r>
          </w:p>
          <w:p w14:paraId="6E7AE104">
            <w:pPr>
              <w:pStyle w:val="4"/>
              <w:keepNext w:val="0"/>
              <w:keepLines w:val="0"/>
              <w:pageBreakBefore w:val="0"/>
              <w:wordWrap/>
              <w:overflowPunct/>
              <w:topLinePunct w:val="0"/>
              <w:bidi w:val="0"/>
              <w:spacing w:line="300" w:lineRule="exact"/>
              <w:ind w:firstLine="424" w:firstLineChars="20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100301口腔医学</w:t>
            </w:r>
          </w:p>
        </w:tc>
        <w:tc>
          <w:tcPr>
            <w:tcW w:w="1279" w:type="dxa"/>
            <w:noWrap w:val="0"/>
            <w:vAlign w:val="center"/>
          </w:tcPr>
          <w:p w14:paraId="25234FAC">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本科及以上</w:t>
            </w:r>
          </w:p>
        </w:tc>
        <w:tc>
          <w:tcPr>
            <w:tcW w:w="1379" w:type="dxa"/>
            <w:noWrap w:val="0"/>
            <w:vAlign w:val="center"/>
          </w:tcPr>
          <w:p w14:paraId="787C7C2D">
            <w:pPr>
              <w:pStyle w:val="4"/>
              <w:keepNext w:val="0"/>
              <w:keepLines w:val="0"/>
              <w:pageBreakBefore w:val="0"/>
              <w:wordWrap/>
              <w:overflowPunct/>
              <w:topLinePunct w:val="0"/>
              <w:bidi w:val="0"/>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学士及以上</w:t>
            </w:r>
          </w:p>
        </w:tc>
        <w:tc>
          <w:tcPr>
            <w:tcW w:w="3802" w:type="dxa"/>
            <w:noWrap w:val="0"/>
            <w:vAlign w:val="center"/>
          </w:tcPr>
          <w:p w14:paraId="5AEA0EC7">
            <w:pPr>
              <w:pStyle w:val="4"/>
              <w:keepNext w:val="0"/>
              <w:keepLines w:val="0"/>
              <w:pageBreakBefore w:val="0"/>
              <w:wordWrap/>
              <w:overflowPunct/>
              <w:topLinePunct w:val="0"/>
              <w:bidi w:val="0"/>
              <w:spacing w:line="300" w:lineRule="exact"/>
              <w:ind w:left="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具有副主任医师及以上职称</w:t>
            </w:r>
            <w:r>
              <w:rPr>
                <w:rFonts w:hint="eastAsia" w:ascii="仿宋_GB2312" w:hAnsi="仿宋_GB2312" w:eastAsia="仿宋_GB2312" w:cs="仿宋_GB2312"/>
                <w:color w:val="auto"/>
                <w:sz w:val="21"/>
                <w:szCs w:val="21"/>
                <w:highlight w:val="none"/>
                <w:lang w:eastAsia="zh-CN"/>
              </w:rPr>
              <w:t>。</w:t>
            </w:r>
          </w:p>
        </w:tc>
      </w:tr>
    </w:tbl>
    <w:p w14:paraId="07EBB62B">
      <w:pPr>
        <w:keepNext w:val="0"/>
        <w:keepLines w:val="0"/>
        <w:pageBreakBefore w:val="0"/>
        <w:widowControl w:val="0"/>
        <w:kinsoku/>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auto"/>
          <w:sz w:val="32"/>
          <w:szCs w:val="32"/>
          <w:highlight w:val="none"/>
        </w:rPr>
      </w:pPr>
    </w:p>
    <w:p w14:paraId="1E545891">
      <w:bookmarkStart w:id="0" w:name="_GoBack"/>
      <w:bookmarkEnd w:id="0"/>
    </w:p>
    <w:sectPr>
      <w:pgSz w:w="16838" w:h="11906" w:orient="landscape"/>
      <w:pgMar w:top="1587" w:right="2098" w:bottom="1474" w:left="192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67487"/>
    <w:rsid w:val="5466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7"/>
      <w:szCs w:val="27"/>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2026-07-13T01:13:00Z</dcterms:created>
  <dc:creator>埃罗芒阿大老师</dc:creator>
  <cp:lastModifiedBy>埃罗芒阿大老师</cp:lastModifiedBy>
  <dcterms:modified xsi:type="dcterms:W3CDTF">2026-07-13T01:14:45Z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2D0EE184D2614CC6A5ACEF111116B0C6_11</vt:lpwstr>
  </property>
  <property fmtid="{D5CDD505-2E9C-101B-9397-08002B2CF9AE}" pid="4" name="KSOTemplateDocerSaveRecord">
    <vt:lpwstr>eyJoZGlkIjoiMDc2MjFmM2M1ZDVlM2EwZjg0NWVjYzUyMTMyNWY3ZWQiLCJ1c2VySWQiOiI1NDI3NjA3OTMifQ==</vt:lpwstr>
  </property>
</Properties>
</file>