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r>
        <w:rPr>
          <w:rFonts w:hint="eastAsia" w:ascii="方正小标宋简体" w:hAnsi="宋体" w:eastAsia="方正小标宋简体"/>
          <w:b/>
          <w:bCs/>
          <w:color w:val="000000"/>
          <w:sz w:val="52"/>
          <w:szCs w:val="52"/>
        </w:rPr>
        <w:t>《蒙智观察》系列</w:t>
      </w: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r>
        <w:rPr>
          <w:rFonts w:hint="eastAsia" w:ascii="方正小标宋简体" w:hAnsi="宋体" w:eastAsia="方正小标宋简体"/>
          <w:b/>
          <w:bCs/>
          <w:color w:val="000000"/>
          <w:sz w:val="52"/>
          <w:szCs w:val="52"/>
        </w:rPr>
        <w:t>上市公司分析研究报告</w:t>
      </w: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r>
        <w:rPr>
          <w:rFonts w:hint="eastAsia" w:ascii="方正小标宋简体" w:hAnsi="宋体" w:eastAsia="方正小标宋简体"/>
          <w:b/>
          <w:bCs/>
          <w:color w:val="000000"/>
          <w:sz w:val="52"/>
          <w:szCs w:val="52"/>
        </w:rPr>
        <w:t>——</w:t>
      </w:r>
      <w:r>
        <w:rPr>
          <w:rFonts w:hint="eastAsia" w:ascii="方正小标宋简体" w:hAnsi="宋体" w:eastAsia="方正小标宋简体"/>
          <w:b/>
          <w:bCs/>
          <w:color w:val="000000"/>
          <w:sz w:val="52"/>
          <w:szCs w:val="52"/>
          <w:lang w:eastAsia="zh-CN"/>
        </w:rPr>
        <w:t>亿利洁能</w:t>
      </w:r>
      <w:r>
        <w:rPr>
          <w:rFonts w:hint="eastAsia" w:ascii="方正小标宋简体" w:hAnsi="宋体" w:eastAsia="方正小标宋简体"/>
          <w:b/>
          <w:bCs/>
          <w:color w:val="000000"/>
          <w:sz w:val="52"/>
          <w:szCs w:val="52"/>
        </w:rPr>
        <w:t>（</w:t>
      </w:r>
      <w:r>
        <w:rPr>
          <w:rFonts w:hint="eastAsia" w:ascii="方正小标宋简体" w:hAnsi="宋体" w:eastAsia="方正小标宋简体"/>
          <w:b/>
          <w:bCs/>
          <w:color w:val="000000"/>
          <w:sz w:val="52"/>
          <w:szCs w:val="52"/>
          <w:lang w:val="en-US" w:eastAsia="zh-CN"/>
        </w:rPr>
        <w:t>600277</w:t>
      </w:r>
      <w:r>
        <w:rPr>
          <w:rFonts w:hint="eastAsia" w:ascii="方正小标宋简体" w:hAnsi="宋体" w:eastAsia="方正小标宋简体"/>
          <w:b/>
          <w:bCs/>
          <w:color w:val="000000"/>
          <w:sz w:val="52"/>
          <w:szCs w:val="52"/>
        </w:rPr>
        <w:t>）</w:t>
      </w: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pStyle w:val="51"/>
        <w:spacing w:before="60" w:beforeAutospacing="0" w:after="60" w:afterAutospacing="0" w:line="360" w:lineRule="auto"/>
        <w:ind w:firstLine="720"/>
        <w:rPr>
          <w:rFonts w:ascii="黑体" w:hAnsi="黑体" w:eastAsia="黑体"/>
          <w:color w:val="000000"/>
          <w:sz w:val="36"/>
          <w:szCs w:val="36"/>
        </w:rPr>
      </w:pPr>
      <w:r>
        <w:rPr>
          <w:rFonts w:hint="eastAsia" w:ascii="黑体" w:hAnsi="黑体" w:eastAsia="黑体"/>
          <w:color w:val="000000"/>
          <w:sz w:val="36"/>
          <w:szCs w:val="36"/>
        </w:rPr>
        <w:t>编制单位：内蒙古蒙智资本运营研究有限公司</w:t>
      </w:r>
    </w:p>
    <w:p>
      <w:pPr>
        <w:pStyle w:val="51"/>
        <w:spacing w:before="60" w:beforeAutospacing="0" w:after="60" w:afterAutospacing="0" w:line="360" w:lineRule="auto"/>
        <w:ind w:firstLine="720"/>
        <w:rPr>
          <w:rFonts w:ascii="黑体" w:hAnsi="黑体" w:eastAsia="黑体"/>
          <w:color w:val="000000"/>
          <w:sz w:val="36"/>
          <w:szCs w:val="36"/>
        </w:rPr>
      </w:pPr>
      <w:r>
        <w:rPr>
          <w:rFonts w:hint="eastAsia" w:ascii="黑体" w:hAnsi="黑体" w:eastAsia="黑体"/>
          <w:color w:val="000000"/>
          <w:sz w:val="36"/>
          <w:szCs w:val="36"/>
        </w:rPr>
        <w:t>编制日期：</w:t>
      </w:r>
      <w:r>
        <w:rPr>
          <w:rFonts w:ascii="黑体" w:hAnsi="黑体" w:eastAsia="黑体"/>
          <w:color w:val="000000"/>
          <w:sz w:val="36"/>
          <w:szCs w:val="36"/>
        </w:rPr>
        <w:t>2024年</w:t>
      </w:r>
      <w:r>
        <w:rPr>
          <w:rFonts w:hint="eastAsia" w:ascii="黑体" w:hAnsi="黑体" w:eastAsia="黑体"/>
          <w:color w:val="000000"/>
          <w:sz w:val="36"/>
          <w:szCs w:val="36"/>
        </w:rPr>
        <w:t>6月</w:t>
      </w:r>
    </w:p>
    <w:p>
      <w:pPr>
        <w:pStyle w:val="51"/>
        <w:tabs>
          <w:tab w:val="clear" w:pos="0"/>
        </w:tabs>
        <w:adjustRightInd/>
        <w:spacing w:before="60" w:beforeAutospacing="0" w:after="60" w:afterAutospacing="0" w:line="360" w:lineRule="auto"/>
        <w:ind w:firstLine="0" w:firstLineChars="0"/>
        <w:jc w:val="center"/>
        <w:rPr>
          <w:rFonts w:ascii="方正小标宋简体" w:hAnsi="宋体" w:eastAsia="方正小标宋简体"/>
          <w:b/>
          <w:bCs/>
          <w:color w:val="000000"/>
          <w:sz w:val="52"/>
          <w:szCs w:val="52"/>
        </w:rPr>
      </w:pPr>
    </w:p>
    <w:p>
      <w:pPr>
        <w:ind w:firstLine="560"/>
      </w:pPr>
      <w:r>
        <w:tab/>
      </w:r>
    </w:p>
    <w:p>
      <w:pPr>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81" w:charSpace="0"/>
        </w:sectPr>
      </w:pPr>
    </w:p>
    <w:p>
      <w:pPr>
        <w:pStyle w:val="2"/>
        <w:keepNext w:val="0"/>
        <w:keepLines w:val="0"/>
        <w:widowControl/>
        <w:tabs>
          <w:tab w:val="left" w:pos="0"/>
          <w:tab w:val="left" w:pos="3317"/>
          <w:tab w:val="center" w:pos="4153"/>
        </w:tabs>
        <w:adjustRightInd w:val="0"/>
        <w:spacing w:before="156" w:beforeLines="50" w:after="156" w:afterLines="50" w:line="480" w:lineRule="auto"/>
        <w:jc w:val="center"/>
      </w:pPr>
      <w:bookmarkStart w:id="0" w:name="_Toc167560418"/>
      <w:bookmarkStart w:id="1" w:name="_Toc168770872"/>
      <w:bookmarkStart w:id="2" w:name="_Toc166878897"/>
      <w:bookmarkStart w:id="3" w:name="_Toc160331806"/>
      <w:bookmarkStart w:id="4" w:name="_Toc161842903"/>
      <w:bookmarkStart w:id="5" w:name="_Toc164442352"/>
      <w:bookmarkStart w:id="6" w:name="_Toc160525353"/>
      <w:bookmarkStart w:id="7" w:name="_Toc168082465"/>
      <w:bookmarkStart w:id="8" w:name="_Toc162555943"/>
      <w:bookmarkStart w:id="9" w:name="_Toc161538483"/>
      <w:bookmarkStart w:id="10" w:name="_Toc161605234"/>
      <w:bookmarkStart w:id="11" w:name="_Toc164980135"/>
      <w:bookmarkStart w:id="12" w:name="_Toc5081"/>
      <w:bookmarkStart w:id="13" w:name="_Toc163034540"/>
      <w:bookmarkStart w:id="14" w:name="_Toc165950655"/>
      <w:bookmarkStart w:id="15" w:name="_Toc8343"/>
      <w:r>
        <w:rPr>
          <w:rFonts w:hint="eastAsia" w:ascii="黑体" w:hAnsi="黑体" w:eastAsia="黑体" w:cs="方正小标宋"/>
          <w:b/>
          <w:bCs/>
          <w:color w:val="auto"/>
          <w:sz w:val="44"/>
          <w:szCs w:val="44"/>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pStyle w:val="15"/>
        <w:tabs>
          <w:tab w:val="right" w:leader="dot" w:pos="8306"/>
          <w:tab w:val="clear" w:pos="8302"/>
        </w:tabs>
        <w:rPr>
          <w:i w:val="0"/>
          <w:iCs w:val="0"/>
        </w:rPr>
      </w:pPr>
      <w:bookmarkStart w:id="16" w:name="_Toc161605235"/>
      <w:bookmarkStart w:id="17" w:name="_Toc168082466"/>
      <w:bookmarkStart w:id="18" w:name="_Toc162555944"/>
      <w:bookmarkStart w:id="19" w:name="_Toc3783"/>
      <w:bookmarkStart w:id="20" w:name="_Toc160525354"/>
      <w:bookmarkStart w:id="21" w:name="_Toc161538484"/>
      <w:bookmarkStart w:id="22" w:name="_Toc166878898"/>
      <w:bookmarkStart w:id="23" w:name="_Toc160331807"/>
      <w:bookmarkStart w:id="24" w:name="_Toc164980136"/>
      <w:bookmarkStart w:id="25" w:name="_Toc161842904"/>
      <w:bookmarkStart w:id="26" w:name="_Toc167560419"/>
      <w:bookmarkStart w:id="27" w:name="_Toc163034541"/>
      <w:bookmarkStart w:id="28" w:name="_Toc168770873"/>
      <w:bookmarkStart w:id="29" w:name="_Toc164442353"/>
      <w:bookmarkStart w:id="30" w:name="_Toc165950656"/>
      <w:r>
        <w:rPr>
          <w:rFonts w:hint="eastAsia"/>
          <w:i w:val="0"/>
          <w:iCs w:val="0"/>
        </w:rPr>
        <w:fldChar w:fldCharType="begin"/>
      </w:r>
      <w:r>
        <w:rPr>
          <w:rFonts w:hint="eastAsia"/>
          <w:i w:val="0"/>
          <w:iCs w:val="0"/>
        </w:rPr>
        <w:instrText xml:space="preserve">TOC \o "1-3" \h \u </w:instrText>
      </w:r>
      <w:r>
        <w:rPr>
          <w:rFonts w:hint="eastAsia"/>
          <w:i w:val="0"/>
          <w:iCs w:val="0"/>
        </w:rPr>
        <w:fldChar w:fldCharType="separate"/>
      </w:r>
      <w:r>
        <w:rPr>
          <w:rFonts w:hint="eastAsia"/>
          <w:i w:val="0"/>
          <w:iCs w:val="0"/>
        </w:rPr>
        <w:fldChar w:fldCharType="begin"/>
      </w:r>
      <w:r>
        <w:rPr>
          <w:rFonts w:hint="eastAsia"/>
          <w:i w:val="0"/>
          <w:iCs w:val="0"/>
        </w:rPr>
        <w:instrText xml:space="preserve"> HYPERLINK \l _Toc7585 </w:instrText>
      </w:r>
      <w:r>
        <w:rPr>
          <w:rFonts w:hint="eastAsia"/>
          <w:i w:val="0"/>
          <w:iCs w:val="0"/>
        </w:rPr>
        <w:fldChar w:fldCharType="separate"/>
      </w:r>
      <w:r>
        <w:rPr>
          <w:rFonts w:hint="eastAsia"/>
          <w:i w:val="0"/>
          <w:iCs w:val="0"/>
        </w:rPr>
        <w:t>第一章、</w:t>
      </w:r>
      <w:r>
        <w:rPr>
          <w:i w:val="0"/>
          <w:iCs w:val="0"/>
        </w:rPr>
        <w:t>基本情况</w:t>
      </w:r>
      <w:r>
        <w:rPr>
          <w:i w:val="0"/>
          <w:iCs w:val="0"/>
        </w:rPr>
        <w:tab/>
      </w:r>
      <w:r>
        <w:rPr>
          <w:i w:val="0"/>
          <w:iCs w:val="0"/>
        </w:rPr>
        <w:fldChar w:fldCharType="begin"/>
      </w:r>
      <w:r>
        <w:rPr>
          <w:i w:val="0"/>
          <w:iCs w:val="0"/>
        </w:rPr>
        <w:instrText xml:space="preserve"> PAGEREF _Toc7585 \h </w:instrText>
      </w:r>
      <w:r>
        <w:rPr>
          <w:i w:val="0"/>
          <w:iCs w:val="0"/>
        </w:rPr>
        <w:fldChar w:fldCharType="separate"/>
      </w:r>
      <w:r>
        <w:rPr>
          <w:i w:val="0"/>
          <w:iCs w:val="0"/>
        </w:rPr>
        <w:t>3</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_Toc26466 </w:instrText>
      </w:r>
      <w:r>
        <w:rPr>
          <w:rFonts w:hint="eastAsia"/>
          <w:i w:val="0"/>
          <w:iCs w:val="0"/>
        </w:rPr>
        <w:fldChar w:fldCharType="separate"/>
      </w:r>
      <w:r>
        <w:rPr>
          <w:rFonts w:hint="eastAsia"/>
          <w:i w:val="0"/>
          <w:iCs w:val="0"/>
        </w:rPr>
        <w:t>一、历史沿革</w:t>
      </w:r>
      <w:r>
        <w:rPr>
          <w:i w:val="0"/>
          <w:iCs w:val="0"/>
        </w:rPr>
        <w:tab/>
      </w:r>
      <w:r>
        <w:rPr>
          <w:i w:val="0"/>
          <w:iCs w:val="0"/>
        </w:rPr>
        <w:fldChar w:fldCharType="begin"/>
      </w:r>
      <w:r>
        <w:rPr>
          <w:i w:val="0"/>
          <w:iCs w:val="0"/>
        </w:rPr>
        <w:instrText xml:space="preserve"> PAGEREF _Toc26466 \h </w:instrText>
      </w:r>
      <w:r>
        <w:rPr>
          <w:i w:val="0"/>
          <w:iCs w:val="0"/>
        </w:rPr>
        <w:fldChar w:fldCharType="separate"/>
      </w:r>
      <w:r>
        <w:rPr>
          <w:i w:val="0"/>
          <w:iCs w:val="0"/>
        </w:rPr>
        <w:t>3</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_Toc29679 </w:instrText>
      </w:r>
      <w:r>
        <w:rPr>
          <w:rFonts w:hint="eastAsia"/>
          <w:i w:val="0"/>
          <w:iCs w:val="0"/>
        </w:rPr>
        <w:fldChar w:fldCharType="separate"/>
      </w:r>
      <w:r>
        <w:rPr>
          <w:rFonts w:hint="eastAsia"/>
          <w:i w:val="0"/>
          <w:iCs w:val="0"/>
        </w:rPr>
        <w:t>二、股权结构</w:t>
      </w:r>
      <w:r>
        <w:rPr>
          <w:i w:val="0"/>
          <w:iCs w:val="0"/>
        </w:rPr>
        <w:tab/>
      </w:r>
      <w:r>
        <w:rPr>
          <w:i w:val="0"/>
          <w:iCs w:val="0"/>
        </w:rPr>
        <w:fldChar w:fldCharType="begin"/>
      </w:r>
      <w:r>
        <w:rPr>
          <w:i w:val="0"/>
          <w:iCs w:val="0"/>
        </w:rPr>
        <w:instrText xml:space="preserve"> PAGEREF _Toc29679 \h </w:instrText>
      </w:r>
      <w:r>
        <w:rPr>
          <w:i w:val="0"/>
          <w:iCs w:val="0"/>
        </w:rPr>
        <w:fldChar w:fldCharType="separate"/>
      </w:r>
      <w:r>
        <w:rPr>
          <w:i w:val="0"/>
          <w:iCs w:val="0"/>
        </w:rPr>
        <w:t>6</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_Toc19338 </w:instrText>
      </w:r>
      <w:r>
        <w:rPr>
          <w:rFonts w:hint="eastAsia"/>
          <w:i w:val="0"/>
          <w:iCs w:val="0"/>
        </w:rPr>
        <w:fldChar w:fldCharType="separate"/>
      </w:r>
      <w:r>
        <w:rPr>
          <w:i w:val="0"/>
          <w:iCs w:val="0"/>
        </w:rPr>
        <w:t>2.1股本结构及其变动情况</w:t>
      </w:r>
      <w:r>
        <w:rPr>
          <w:i w:val="0"/>
          <w:iCs w:val="0"/>
        </w:rPr>
        <w:tab/>
      </w:r>
      <w:r>
        <w:rPr>
          <w:i w:val="0"/>
          <w:iCs w:val="0"/>
        </w:rPr>
        <w:fldChar w:fldCharType="begin"/>
      </w:r>
      <w:r>
        <w:rPr>
          <w:i w:val="0"/>
          <w:iCs w:val="0"/>
        </w:rPr>
        <w:instrText xml:space="preserve"> PAGEREF _Toc19338 \h </w:instrText>
      </w:r>
      <w:r>
        <w:rPr>
          <w:i w:val="0"/>
          <w:iCs w:val="0"/>
        </w:rPr>
        <w:fldChar w:fldCharType="separate"/>
      </w:r>
      <w:r>
        <w:rPr>
          <w:i w:val="0"/>
          <w:iCs w:val="0"/>
        </w:rPr>
        <w:t>6</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_Toc23777 </w:instrText>
      </w:r>
      <w:r>
        <w:rPr>
          <w:rFonts w:hint="eastAsia"/>
          <w:i w:val="0"/>
          <w:iCs w:val="0"/>
        </w:rPr>
        <w:fldChar w:fldCharType="separate"/>
      </w:r>
      <w:r>
        <w:rPr>
          <w:i w:val="0"/>
          <w:iCs w:val="0"/>
        </w:rPr>
        <w:t>2.2前十名股东及其持股情况</w:t>
      </w:r>
      <w:r>
        <w:rPr>
          <w:i w:val="0"/>
          <w:iCs w:val="0"/>
        </w:rPr>
        <w:tab/>
      </w:r>
      <w:r>
        <w:rPr>
          <w:i w:val="0"/>
          <w:iCs w:val="0"/>
        </w:rPr>
        <w:fldChar w:fldCharType="begin"/>
      </w:r>
      <w:r>
        <w:rPr>
          <w:i w:val="0"/>
          <w:iCs w:val="0"/>
        </w:rPr>
        <w:instrText xml:space="preserve"> PAGEREF _Toc23777 \h </w:instrText>
      </w:r>
      <w:r>
        <w:rPr>
          <w:i w:val="0"/>
          <w:iCs w:val="0"/>
        </w:rPr>
        <w:fldChar w:fldCharType="separate"/>
      </w:r>
      <w:r>
        <w:rPr>
          <w:i w:val="0"/>
          <w:iCs w:val="0"/>
        </w:rPr>
        <w:t>7</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_Toc28825 </w:instrText>
      </w:r>
      <w:r>
        <w:rPr>
          <w:rFonts w:hint="eastAsia"/>
          <w:i w:val="0"/>
          <w:iCs w:val="0"/>
        </w:rPr>
        <w:fldChar w:fldCharType="separate"/>
      </w:r>
      <w:r>
        <w:rPr>
          <w:i w:val="0"/>
          <w:iCs w:val="0"/>
        </w:rPr>
        <w:t>2.3</w:t>
      </w:r>
      <w:r>
        <w:rPr>
          <w:rFonts w:hint="eastAsia"/>
          <w:i w:val="0"/>
          <w:iCs w:val="0"/>
        </w:rPr>
        <w:t>控股股东及</w:t>
      </w:r>
      <w:r>
        <w:rPr>
          <w:i w:val="0"/>
          <w:iCs w:val="0"/>
        </w:rPr>
        <w:t>实际控制人情况</w:t>
      </w:r>
      <w:r>
        <w:rPr>
          <w:i w:val="0"/>
          <w:iCs w:val="0"/>
        </w:rPr>
        <w:tab/>
      </w:r>
      <w:r>
        <w:rPr>
          <w:i w:val="0"/>
          <w:iCs w:val="0"/>
        </w:rPr>
        <w:fldChar w:fldCharType="begin"/>
      </w:r>
      <w:r>
        <w:rPr>
          <w:i w:val="0"/>
          <w:iCs w:val="0"/>
        </w:rPr>
        <w:instrText xml:space="preserve"> PAGEREF _Toc28825 \h </w:instrText>
      </w:r>
      <w:r>
        <w:rPr>
          <w:i w:val="0"/>
          <w:iCs w:val="0"/>
        </w:rPr>
        <w:fldChar w:fldCharType="separate"/>
      </w:r>
      <w:r>
        <w:rPr>
          <w:i w:val="0"/>
          <w:iCs w:val="0"/>
        </w:rPr>
        <w:t>8</w:t>
      </w:r>
      <w:r>
        <w:rPr>
          <w:i w:val="0"/>
          <w:iCs w:val="0"/>
        </w:rPr>
        <w:fldChar w:fldCharType="end"/>
      </w:r>
      <w:r>
        <w:rPr>
          <w:rFonts w:hint="eastAsia"/>
          <w:i w:val="0"/>
          <w:iCs w:val="0"/>
        </w:rPr>
        <w:fldChar w:fldCharType="end"/>
      </w:r>
    </w:p>
    <w:p>
      <w:pPr>
        <w:pStyle w:val="15"/>
        <w:rPr>
          <w:i w:val="0"/>
          <w:iCs w:val="0"/>
        </w:rPr>
      </w:pPr>
      <w:r>
        <w:rPr>
          <w:rFonts w:hint="eastAsia"/>
          <w:i w:val="0"/>
          <w:iCs w:val="0"/>
        </w:rPr>
        <w:fldChar w:fldCharType="begin"/>
      </w:r>
      <w:r>
        <w:rPr>
          <w:rFonts w:hint="eastAsia"/>
          <w:i w:val="0"/>
          <w:iCs w:val="0"/>
        </w:rPr>
        <w:instrText xml:space="preserve"> HYPERLINK \l _Toc28075 </w:instrText>
      </w:r>
      <w:r>
        <w:rPr>
          <w:rFonts w:hint="eastAsia"/>
          <w:i w:val="0"/>
          <w:iCs w:val="0"/>
        </w:rPr>
        <w:fldChar w:fldCharType="separate"/>
      </w:r>
      <w:r>
        <w:rPr>
          <w:rFonts w:hint="eastAsia"/>
          <w:i w:val="0"/>
          <w:iCs w:val="0"/>
        </w:rPr>
        <w:t>第二章、</w:t>
      </w:r>
      <w:r>
        <w:rPr>
          <w:i w:val="0"/>
          <w:iCs w:val="0"/>
        </w:rPr>
        <w:t>业务与盈利模式</w:t>
      </w:r>
      <w:r>
        <w:rPr>
          <w:i w:val="0"/>
          <w:iCs w:val="0"/>
        </w:rPr>
        <w:tab/>
      </w:r>
      <w:r>
        <w:rPr>
          <w:i w:val="0"/>
          <w:iCs w:val="0"/>
        </w:rPr>
        <w:fldChar w:fldCharType="begin"/>
      </w:r>
      <w:r>
        <w:rPr>
          <w:i w:val="0"/>
          <w:iCs w:val="0"/>
        </w:rPr>
        <w:instrText xml:space="preserve"> PAGEREF _Toc28075 \h </w:instrText>
      </w:r>
      <w:r>
        <w:rPr>
          <w:i w:val="0"/>
          <w:iCs w:val="0"/>
        </w:rPr>
        <w:fldChar w:fldCharType="separate"/>
      </w:r>
      <w:r>
        <w:rPr>
          <w:i w:val="0"/>
          <w:iCs w:val="0"/>
        </w:rPr>
        <w:t>11</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_Toc24442 </w:instrText>
      </w:r>
      <w:r>
        <w:rPr>
          <w:rFonts w:hint="eastAsia"/>
          <w:i w:val="0"/>
          <w:iCs w:val="0"/>
        </w:rPr>
        <w:fldChar w:fldCharType="separate"/>
      </w:r>
      <w:r>
        <w:rPr>
          <w:rFonts w:hint="eastAsia"/>
          <w:i w:val="0"/>
          <w:iCs w:val="0"/>
        </w:rPr>
        <w:t>一、业务模式</w:t>
      </w:r>
      <w:r>
        <w:rPr>
          <w:i w:val="0"/>
          <w:iCs w:val="0"/>
        </w:rPr>
        <w:tab/>
      </w:r>
      <w:r>
        <w:rPr>
          <w:i w:val="0"/>
          <w:iCs w:val="0"/>
        </w:rPr>
        <w:fldChar w:fldCharType="begin"/>
      </w:r>
      <w:r>
        <w:rPr>
          <w:i w:val="0"/>
          <w:iCs w:val="0"/>
        </w:rPr>
        <w:instrText xml:space="preserve"> PAGEREF _Toc24442 \h </w:instrText>
      </w:r>
      <w:r>
        <w:rPr>
          <w:i w:val="0"/>
          <w:iCs w:val="0"/>
        </w:rPr>
        <w:fldChar w:fldCharType="separate"/>
      </w:r>
      <w:r>
        <w:rPr>
          <w:i w:val="0"/>
          <w:iCs w:val="0"/>
        </w:rPr>
        <w:t>11</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_Toc23018 </w:instrText>
      </w:r>
      <w:r>
        <w:rPr>
          <w:rFonts w:hint="eastAsia"/>
          <w:i w:val="0"/>
          <w:iCs w:val="0"/>
        </w:rPr>
        <w:fldChar w:fldCharType="separate"/>
      </w:r>
      <w:r>
        <w:rPr>
          <w:i w:val="0"/>
          <w:iCs w:val="0"/>
        </w:rPr>
        <w:t>1.1主营业务</w:t>
      </w:r>
      <w:r>
        <w:rPr>
          <w:i w:val="0"/>
          <w:iCs w:val="0"/>
        </w:rPr>
        <w:tab/>
      </w:r>
      <w:r>
        <w:rPr>
          <w:i w:val="0"/>
          <w:iCs w:val="0"/>
        </w:rPr>
        <w:fldChar w:fldCharType="begin"/>
      </w:r>
      <w:r>
        <w:rPr>
          <w:i w:val="0"/>
          <w:iCs w:val="0"/>
        </w:rPr>
        <w:instrText xml:space="preserve"> PAGEREF _Toc23018 \h </w:instrText>
      </w:r>
      <w:r>
        <w:rPr>
          <w:i w:val="0"/>
          <w:iCs w:val="0"/>
        </w:rPr>
        <w:fldChar w:fldCharType="separate"/>
      </w:r>
      <w:r>
        <w:rPr>
          <w:i w:val="0"/>
          <w:iCs w:val="0"/>
        </w:rPr>
        <w:t>11</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_Toc6704 </w:instrText>
      </w:r>
      <w:r>
        <w:rPr>
          <w:rFonts w:hint="eastAsia"/>
          <w:i w:val="0"/>
          <w:iCs w:val="0"/>
        </w:rPr>
        <w:fldChar w:fldCharType="separate"/>
      </w:r>
      <w:r>
        <w:rPr>
          <w:i w:val="0"/>
          <w:iCs w:val="0"/>
        </w:rPr>
        <w:t>1.2主要产品</w:t>
      </w:r>
      <w:r>
        <w:rPr>
          <w:i w:val="0"/>
          <w:iCs w:val="0"/>
        </w:rPr>
        <w:tab/>
      </w:r>
      <w:r>
        <w:rPr>
          <w:i w:val="0"/>
          <w:iCs w:val="0"/>
        </w:rPr>
        <w:fldChar w:fldCharType="begin"/>
      </w:r>
      <w:r>
        <w:rPr>
          <w:i w:val="0"/>
          <w:iCs w:val="0"/>
        </w:rPr>
        <w:instrText xml:space="preserve"> PAGEREF _Toc6704 \h </w:instrText>
      </w:r>
      <w:r>
        <w:rPr>
          <w:i w:val="0"/>
          <w:iCs w:val="0"/>
        </w:rPr>
        <w:fldChar w:fldCharType="separate"/>
      </w:r>
      <w:r>
        <w:rPr>
          <w:i w:val="0"/>
          <w:iCs w:val="0"/>
        </w:rPr>
        <w:t>13</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_Toc11532 </w:instrText>
      </w:r>
      <w:r>
        <w:rPr>
          <w:rFonts w:hint="eastAsia"/>
          <w:i w:val="0"/>
          <w:iCs w:val="0"/>
        </w:rPr>
        <w:fldChar w:fldCharType="separate"/>
      </w:r>
      <w:r>
        <w:rPr>
          <w:i w:val="0"/>
          <w:iCs w:val="0"/>
        </w:rPr>
        <w:t>1.3营收分析</w:t>
      </w:r>
      <w:r>
        <w:rPr>
          <w:i w:val="0"/>
          <w:iCs w:val="0"/>
        </w:rPr>
        <w:tab/>
      </w:r>
      <w:r>
        <w:rPr>
          <w:i w:val="0"/>
          <w:iCs w:val="0"/>
        </w:rPr>
        <w:fldChar w:fldCharType="begin"/>
      </w:r>
      <w:r>
        <w:rPr>
          <w:i w:val="0"/>
          <w:iCs w:val="0"/>
        </w:rPr>
        <w:instrText xml:space="preserve"> PAGEREF _Toc11532 \h </w:instrText>
      </w:r>
      <w:r>
        <w:rPr>
          <w:i w:val="0"/>
          <w:iCs w:val="0"/>
        </w:rPr>
        <w:fldChar w:fldCharType="separate"/>
      </w:r>
      <w:r>
        <w:rPr>
          <w:i w:val="0"/>
          <w:iCs w:val="0"/>
        </w:rPr>
        <w:t>15</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_Toc4638 </w:instrText>
      </w:r>
      <w:r>
        <w:rPr>
          <w:rFonts w:hint="eastAsia"/>
          <w:i w:val="0"/>
          <w:iCs w:val="0"/>
        </w:rPr>
        <w:fldChar w:fldCharType="separate"/>
      </w:r>
      <w:r>
        <w:rPr>
          <w:rFonts w:hint="eastAsia"/>
          <w:i w:val="0"/>
          <w:iCs w:val="0"/>
        </w:rPr>
        <w:t>二、</w:t>
      </w:r>
      <w:r>
        <w:rPr>
          <w:rFonts w:hint="eastAsia"/>
          <w:i w:val="0"/>
          <w:iCs w:val="0"/>
          <w:lang w:val="en-US" w:eastAsia="zh-CN"/>
        </w:rPr>
        <w:t>采购</w:t>
      </w:r>
      <w:r>
        <w:rPr>
          <w:rFonts w:hint="eastAsia"/>
          <w:i w:val="0"/>
          <w:iCs w:val="0"/>
        </w:rPr>
        <w:t>模式</w:t>
      </w:r>
      <w:r>
        <w:rPr>
          <w:i w:val="0"/>
          <w:iCs w:val="0"/>
        </w:rPr>
        <w:tab/>
      </w:r>
      <w:r>
        <w:rPr>
          <w:i w:val="0"/>
          <w:iCs w:val="0"/>
        </w:rPr>
        <w:fldChar w:fldCharType="begin"/>
      </w:r>
      <w:r>
        <w:rPr>
          <w:i w:val="0"/>
          <w:iCs w:val="0"/>
        </w:rPr>
        <w:instrText xml:space="preserve"> PAGEREF _Toc4638 \h </w:instrText>
      </w:r>
      <w:r>
        <w:rPr>
          <w:i w:val="0"/>
          <w:iCs w:val="0"/>
        </w:rPr>
        <w:fldChar w:fldCharType="separate"/>
      </w:r>
      <w:r>
        <w:rPr>
          <w:i w:val="0"/>
          <w:iCs w:val="0"/>
        </w:rPr>
        <w:t>19</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_Toc32744 </w:instrText>
      </w:r>
      <w:r>
        <w:rPr>
          <w:rFonts w:hint="eastAsia"/>
          <w:i w:val="0"/>
          <w:iCs w:val="0"/>
        </w:rPr>
        <w:fldChar w:fldCharType="separate"/>
      </w:r>
      <w:r>
        <w:rPr>
          <w:rFonts w:hint="eastAsia"/>
          <w:i w:val="0"/>
          <w:iCs w:val="0"/>
          <w:lang w:val="en-US" w:eastAsia="zh-CN"/>
        </w:rPr>
        <w:t>三</w:t>
      </w:r>
      <w:r>
        <w:rPr>
          <w:rFonts w:hint="eastAsia"/>
          <w:i w:val="0"/>
          <w:iCs w:val="0"/>
        </w:rPr>
        <w:t>、生产模式</w:t>
      </w:r>
      <w:r>
        <w:rPr>
          <w:i w:val="0"/>
          <w:iCs w:val="0"/>
        </w:rPr>
        <w:tab/>
      </w:r>
      <w:r>
        <w:rPr>
          <w:i w:val="0"/>
          <w:iCs w:val="0"/>
        </w:rPr>
        <w:fldChar w:fldCharType="begin"/>
      </w:r>
      <w:r>
        <w:rPr>
          <w:i w:val="0"/>
          <w:iCs w:val="0"/>
        </w:rPr>
        <w:instrText xml:space="preserve"> PAGEREF _Toc32744 \h </w:instrText>
      </w:r>
      <w:r>
        <w:rPr>
          <w:i w:val="0"/>
          <w:iCs w:val="0"/>
        </w:rPr>
        <w:fldChar w:fldCharType="separate"/>
      </w:r>
      <w:r>
        <w:rPr>
          <w:i w:val="0"/>
          <w:iCs w:val="0"/>
        </w:rPr>
        <w:t>19</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_Toc15799 </w:instrText>
      </w:r>
      <w:r>
        <w:rPr>
          <w:rFonts w:hint="eastAsia"/>
          <w:i w:val="0"/>
          <w:iCs w:val="0"/>
        </w:rPr>
        <w:fldChar w:fldCharType="separate"/>
      </w:r>
      <w:r>
        <w:rPr>
          <w:rFonts w:hint="eastAsia"/>
          <w:i w:val="0"/>
          <w:iCs w:val="0"/>
          <w:lang w:val="en-US" w:eastAsia="zh-CN"/>
        </w:rPr>
        <w:t>四</w:t>
      </w:r>
      <w:r>
        <w:rPr>
          <w:rFonts w:hint="eastAsia"/>
          <w:i w:val="0"/>
          <w:iCs w:val="0"/>
        </w:rPr>
        <w:t>、</w:t>
      </w:r>
      <w:r>
        <w:rPr>
          <w:rFonts w:hint="eastAsia"/>
          <w:i w:val="0"/>
          <w:iCs w:val="0"/>
          <w:lang w:val="en-US" w:eastAsia="zh-CN"/>
        </w:rPr>
        <w:t>销售</w:t>
      </w:r>
      <w:r>
        <w:rPr>
          <w:rFonts w:hint="eastAsia"/>
          <w:i w:val="0"/>
          <w:iCs w:val="0"/>
        </w:rPr>
        <w:t>模式</w:t>
      </w:r>
      <w:r>
        <w:rPr>
          <w:i w:val="0"/>
          <w:iCs w:val="0"/>
        </w:rPr>
        <w:tab/>
      </w:r>
      <w:r>
        <w:rPr>
          <w:i w:val="0"/>
          <w:iCs w:val="0"/>
        </w:rPr>
        <w:fldChar w:fldCharType="begin"/>
      </w:r>
      <w:r>
        <w:rPr>
          <w:i w:val="0"/>
          <w:iCs w:val="0"/>
        </w:rPr>
        <w:instrText xml:space="preserve"> PAGEREF _Toc15799 \h </w:instrText>
      </w:r>
      <w:r>
        <w:rPr>
          <w:i w:val="0"/>
          <w:iCs w:val="0"/>
        </w:rPr>
        <w:fldChar w:fldCharType="separate"/>
      </w:r>
      <w:r>
        <w:rPr>
          <w:i w:val="0"/>
          <w:iCs w:val="0"/>
        </w:rPr>
        <w:t>20</w:t>
      </w:r>
      <w:r>
        <w:rPr>
          <w:i w:val="0"/>
          <w:iCs w:val="0"/>
        </w:rPr>
        <w:fldChar w:fldCharType="end"/>
      </w:r>
      <w:r>
        <w:rPr>
          <w:rFonts w:hint="eastAsia"/>
          <w:i w:val="0"/>
          <w:iCs w:val="0"/>
        </w:rPr>
        <w:fldChar w:fldCharType="end"/>
      </w:r>
    </w:p>
    <w:p>
      <w:pPr>
        <w:pStyle w:val="15"/>
        <w:rPr>
          <w:i w:val="0"/>
          <w:iCs w:val="0"/>
        </w:rPr>
      </w:pPr>
      <w:r>
        <w:rPr>
          <w:rFonts w:hint="eastAsia"/>
          <w:i w:val="0"/>
          <w:iCs w:val="0"/>
        </w:rPr>
        <w:fldChar w:fldCharType="begin"/>
      </w:r>
      <w:r>
        <w:rPr>
          <w:rFonts w:hint="eastAsia"/>
          <w:i w:val="0"/>
          <w:iCs w:val="0"/>
        </w:rPr>
        <w:instrText xml:space="preserve"> HYPERLINK \l _Toc5178 </w:instrText>
      </w:r>
      <w:r>
        <w:rPr>
          <w:rFonts w:hint="eastAsia"/>
          <w:i w:val="0"/>
          <w:iCs w:val="0"/>
        </w:rPr>
        <w:fldChar w:fldCharType="separate"/>
      </w:r>
      <w:r>
        <w:rPr>
          <w:rFonts w:hint="eastAsia"/>
          <w:i w:val="0"/>
          <w:iCs w:val="0"/>
        </w:rPr>
        <w:t>第三章、</w:t>
      </w:r>
      <w:r>
        <w:rPr>
          <w:i w:val="0"/>
          <w:iCs w:val="0"/>
        </w:rPr>
        <w:t>行业分析</w:t>
      </w:r>
      <w:r>
        <w:rPr>
          <w:i w:val="0"/>
          <w:iCs w:val="0"/>
        </w:rPr>
        <w:tab/>
      </w:r>
      <w:r>
        <w:rPr>
          <w:i w:val="0"/>
          <w:iCs w:val="0"/>
        </w:rPr>
        <w:fldChar w:fldCharType="begin"/>
      </w:r>
      <w:r>
        <w:rPr>
          <w:i w:val="0"/>
          <w:iCs w:val="0"/>
        </w:rPr>
        <w:instrText xml:space="preserve"> PAGEREF _Toc5178 \h </w:instrText>
      </w:r>
      <w:r>
        <w:rPr>
          <w:i w:val="0"/>
          <w:iCs w:val="0"/>
        </w:rPr>
        <w:fldChar w:fldCharType="separate"/>
      </w:r>
      <w:r>
        <w:rPr>
          <w:i w:val="0"/>
          <w:iCs w:val="0"/>
        </w:rPr>
        <w:t>22</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_Toc12432 </w:instrText>
      </w:r>
      <w:r>
        <w:rPr>
          <w:rFonts w:hint="eastAsia"/>
          <w:i w:val="0"/>
          <w:iCs w:val="0"/>
        </w:rPr>
        <w:fldChar w:fldCharType="separate"/>
      </w:r>
      <w:r>
        <w:rPr>
          <w:rFonts w:hint="eastAsia"/>
          <w:i w:val="0"/>
          <w:iCs w:val="0"/>
        </w:rPr>
        <w:t>一、政策背景</w:t>
      </w:r>
      <w:r>
        <w:rPr>
          <w:i w:val="0"/>
          <w:iCs w:val="0"/>
        </w:rPr>
        <w:tab/>
      </w:r>
      <w:r>
        <w:rPr>
          <w:i w:val="0"/>
          <w:iCs w:val="0"/>
        </w:rPr>
        <w:fldChar w:fldCharType="begin"/>
      </w:r>
      <w:r>
        <w:rPr>
          <w:i w:val="0"/>
          <w:iCs w:val="0"/>
        </w:rPr>
        <w:instrText xml:space="preserve"> PAGEREF _Toc12432 \h </w:instrText>
      </w:r>
      <w:r>
        <w:rPr>
          <w:i w:val="0"/>
          <w:iCs w:val="0"/>
        </w:rPr>
        <w:fldChar w:fldCharType="separate"/>
      </w:r>
      <w:r>
        <w:rPr>
          <w:i w:val="0"/>
          <w:iCs w:val="0"/>
        </w:rPr>
        <w:t>22</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_Toc19679 </w:instrText>
      </w:r>
      <w:r>
        <w:rPr>
          <w:rFonts w:hint="eastAsia"/>
          <w:i w:val="0"/>
          <w:iCs w:val="0"/>
        </w:rPr>
        <w:fldChar w:fldCharType="separate"/>
      </w:r>
      <w:r>
        <w:rPr>
          <w:rFonts w:hint="eastAsia"/>
          <w:i w:val="0"/>
          <w:iCs w:val="0"/>
        </w:rPr>
        <w:t>二、行业概况</w:t>
      </w:r>
      <w:r>
        <w:rPr>
          <w:i w:val="0"/>
          <w:iCs w:val="0"/>
        </w:rPr>
        <w:tab/>
      </w:r>
      <w:r>
        <w:rPr>
          <w:i w:val="0"/>
          <w:iCs w:val="0"/>
        </w:rPr>
        <w:fldChar w:fldCharType="begin"/>
      </w:r>
      <w:r>
        <w:rPr>
          <w:i w:val="0"/>
          <w:iCs w:val="0"/>
        </w:rPr>
        <w:instrText xml:space="preserve"> PAGEREF _Toc19679 \h </w:instrText>
      </w:r>
      <w:r>
        <w:rPr>
          <w:i w:val="0"/>
          <w:iCs w:val="0"/>
        </w:rPr>
        <w:fldChar w:fldCharType="separate"/>
      </w:r>
      <w:r>
        <w:rPr>
          <w:i w:val="0"/>
          <w:iCs w:val="0"/>
        </w:rPr>
        <w:t>24</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_Toc28973 </w:instrText>
      </w:r>
      <w:r>
        <w:rPr>
          <w:rFonts w:hint="eastAsia"/>
          <w:i w:val="0"/>
          <w:iCs w:val="0"/>
        </w:rPr>
        <w:fldChar w:fldCharType="separate"/>
      </w:r>
      <w:r>
        <w:rPr>
          <w:rFonts w:hint="eastAsia"/>
          <w:i w:val="0"/>
          <w:iCs w:val="0"/>
        </w:rPr>
        <w:t>2.1化工产业上下游产业链状况</w:t>
      </w:r>
      <w:r>
        <w:rPr>
          <w:i w:val="0"/>
          <w:iCs w:val="0"/>
        </w:rPr>
        <w:tab/>
      </w:r>
      <w:r>
        <w:rPr>
          <w:i w:val="0"/>
          <w:iCs w:val="0"/>
        </w:rPr>
        <w:fldChar w:fldCharType="begin"/>
      </w:r>
      <w:r>
        <w:rPr>
          <w:i w:val="0"/>
          <w:iCs w:val="0"/>
        </w:rPr>
        <w:instrText xml:space="preserve"> PAGEREF _Toc28973 \h </w:instrText>
      </w:r>
      <w:r>
        <w:rPr>
          <w:i w:val="0"/>
          <w:iCs w:val="0"/>
        </w:rPr>
        <w:fldChar w:fldCharType="separate"/>
      </w:r>
      <w:r>
        <w:rPr>
          <w:i w:val="0"/>
          <w:iCs w:val="0"/>
        </w:rPr>
        <w:t>24</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_Toc28928 </w:instrText>
      </w:r>
      <w:r>
        <w:rPr>
          <w:rFonts w:hint="eastAsia"/>
          <w:i w:val="0"/>
          <w:iCs w:val="0"/>
        </w:rPr>
        <w:fldChar w:fldCharType="separate"/>
      </w:r>
      <w:r>
        <w:rPr>
          <w:rFonts w:hint="eastAsia"/>
          <w:i w:val="0"/>
          <w:iCs w:val="0"/>
        </w:rPr>
        <w:t>2.2化工产业市场形势分析</w:t>
      </w:r>
      <w:r>
        <w:rPr>
          <w:i w:val="0"/>
          <w:iCs w:val="0"/>
        </w:rPr>
        <w:tab/>
      </w:r>
      <w:r>
        <w:rPr>
          <w:i w:val="0"/>
          <w:iCs w:val="0"/>
        </w:rPr>
        <w:fldChar w:fldCharType="begin"/>
      </w:r>
      <w:r>
        <w:rPr>
          <w:i w:val="0"/>
          <w:iCs w:val="0"/>
        </w:rPr>
        <w:instrText xml:space="preserve"> PAGEREF _Toc28928 \h </w:instrText>
      </w:r>
      <w:r>
        <w:rPr>
          <w:i w:val="0"/>
          <w:iCs w:val="0"/>
        </w:rPr>
        <w:fldChar w:fldCharType="separate"/>
      </w:r>
      <w:r>
        <w:rPr>
          <w:i w:val="0"/>
          <w:iCs w:val="0"/>
        </w:rPr>
        <w:t>24</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_Toc25086 </w:instrText>
      </w:r>
      <w:r>
        <w:rPr>
          <w:rFonts w:hint="eastAsia"/>
          <w:i w:val="0"/>
          <w:iCs w:val="0"/>
        </w:rPr>
        <w:fldChar w:fldCharType="separate"/>
      </w:r>
      <w:r>
        <w:rPr>
          <w:rFonts w:hint="eastAsia"/>
          <w:i w:val="0"/>
          <w:iCs w:val="0"/>
          <w:lang w:val="en-US" w:eastAsia="zh-CN"/>
        </w:rPr>
        <w:t>2.3光氢新能源市场分析</w:t>
      </w:r>
      <w:r>
        <w:rPr>
          <w:i w:val="0"/>
          <w:iCs w:val="0"/>
        </w:rPr>
        <w:tab/>
      </w:r>
      <w:r>
        <w:rPr>
          <w:i w:val="0"/>
          <w:iCs w:val="0"/>
        </w:rPr>
        <w:fldChar w:fldCharType="begin"/>
      </w:r>
      <w:r>
        <w:rPr>
          <w:i w:val="0"/>
          <w:iCs w:val="0"/>
        </w:rPr>
        <w:instrText xml:space="preserve"> PAGEREF _Toc25086 \h </w:instrText>
      </w:r>
      <w:r>
        <w:rPr>
          <w:i w:val="0"/>
          <w:iCs w:val="0"/>
        </w:rPr>
        <w:fldChar w:fldCharType="separate"/>
      </w:r>
      <w:r>
        <w:rPr>
          <w:i w:val="0"/>
          <w:iCs w:val="0"/>
        </w:rPr>
        <w:t>28</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_Toc22930 </w:instrText>
      </w:r>
      <w:r>
        <w:rPr>
          <w:rFonts w:hint="eastAsia"/>
          <w:i w:val="0"/>
          <w:iCs w:val="0"/>
        </w:rPr>
        <w:fldChar w:fldCharType="separate"/>
      </w:r>
      <w:r>
        <w:rPr>
          <w:rFonts w:hint="eastAsia"/>
          <w:i w:val="0"/>
          <w:iCs w:val="0"/>
          <w:lang w:val="en-US" w:eastAsia="zh-CN"/>
        </w:rPr>
        <w:t>2.4</w:t>
      </w:r>
      <w:r>
        <w:rPr>
          <w:rFonts w:hint="eastAsia"/>
          <w:i w:val="0"/>
          <w:iCs w:val="0"/>
        </w:rPr>
        <w:t>公司竞争力分析</w:t>
      </w:r>
      <w:r>
        <w:rPr>
          <w:i w:val="0"/>
          <w:iCs w:val="0"/>
        </w:rPr>
        <w:tab/>
      </w:r>
      <w:r>
        <w:rPr>
          <w:i w:val="0"/>
          <w:iCs w:val="0"/>
        </w:rPr>
        <w:fldChar w:fldCharType="begin"/>
      </w:r>
      <w:r>
        <w:rPr>
          <w:i w:val="0"/>
          <w:iCs w:val="0"/>
        </w:rPr>
        <w:instrText xml:space="preserve"> PAGEREF _Toc22930 \h </w:instrText>
      </w:r>
      <w:r>
        <w:rPr>
          <w:i w:val="0"/>
          <w:iCs w:val="0"/>
        </w:rPr>
        <w:fldChar w:fldCharType="separate"/>
      </w:r>
      <w:r>
        <w:rPr>
          <w:i w:val="0"/>
          <w:iCs w:val="0"/>
        </w:rPr>
        <w:t>32</w:t>
      </w:r>
      <w:r>
        <w:rPr>
          <w:i w:val="0"/>
          <w:iCs w:val="0"/>
        </w:rPr>
        <w:fldChar w:fldCharType="end"/>
      </w:r>
      <w:r>
        <w:rPr>
          <w:rFonts w:hint="eastAsia"/>
          <w:i w:val="0"/>
          <w:iCs w:val="0"/>
        </w:rPr>
        <w:fldChar w:fldCharType="end"/>
      </w:r>
    </w:p>
    <w:p>
      <w:pPr>
        <w:pStyle w:val="15"/>
        <w:rPr>
          <w:i w:val="0"/>
          <w:iCs w:val="0"/>
        </w:rPr>
      </w:pPr>
      <w:r>
        <w:rPr>
          <w:rFonts w:hint="eastAsia"/>
          <w:i w:val="0"/>
          <w:iCs w:val="0"/>
        </w:rPr>
        <w:fldChar w:fldCharType="begin"/>
      </w:r>
      <w:r>
        <w:rPr>
          <w:rFonts w:hint="eastAsia"/>
          <w:i w:val="0"/>
          <w:iCs w:val="0"/>
        </w:rPr>
        <w:instrText xml:space="preserve"> HYPERLINK \l _Toc32606 </w:instrText>
      </w:r>
      <w:r>
        <w:rPr>
          <w:rFonts w:hint="eastAsia"/>
          <w:i w:val="0"/>
          <w:iCs w:val="0"/>
        </w:rPr>
        <w:fldChar w:fldCharType="separate"/>
      </w:r>
      <w:r>
        <w:rPr>
          <w:rFonts w:hint="eastAsia"/>
          <w:i w:val="0"/>
          <w:iCs w:val="0"/>
        </w:rPr>
        <w:t>第四章、</w:t>
      </w:r>
      <w:r>
        <w:rPr>
          <w:i w:val="0"/>
          <w:iCs w:val="0"/>
        </w:rPr>
        <w:t>财务分析</w:t>
      </w:r>
      <w:r>
        <w:rPr>
          <w:i w:val="0"/>
          <w:iCs w:val="0"/>
        </w:rPr>
        <w:tab/>
      </w:r>
      <w:r>
        <w:rPr>
          <w:i w:val="0"/>
          <w:iCs w:val="0"/>
        </w:rPr>
        <w:fldChar w:fldCharType="begin"/>
      </w:r>
      <w:r>
        <w:rPr>
          <w:i w:val="0"/>
          <w:iCs w:val="0"/>
        </w:rPr>
        <w:instrText xml:space="preserve"> PAGEREF _Toc32606 \h </w:instrText>
      </w:r>
      <w:r>
        <w:rPr>
          <w:i w:val="0"/>
          <w:iCs w:val="0"/>
        </w:rPr>
        <w:fldChar w:fldCharType="separate"/>
      </w:r>
      <w:r>
        <w:rPr>
          <w:i w:val="0"/>
          <w:iCs w:val="0"/>
        </w:rPr>
        <w:t>35</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_Toc25553 </w:instrText>
      </w:r>
      <w:r>
        <w:rPr>
          <w:rFonts w:hint="eastAsia"/>
          <w:i w:val="0"/>
          <w:iCs w:val="0"/>
        </w:rPr>
        <w:fldChar w:fldCharType="separate"/>
      </w:r>
      <w:r>
        <w:rPr>
          <w:rFonts w:hint="eastAsia"/>
          <w:i w:val="0"/>
          <w:iCs w:val="0"/>
        </w:rPr>
        <w:t>一、</w:t>
      </w:r>
      <w:r>
        <w:rPr>
          <w:i w:val="0"/>
          <w:iCs w:val="0"/>
        </w:rPr>
        <w:t>2023</w:t>
      </w:r>
      <w:r>
        <w:rPr>
          <w:rFonts w:hint="eastAsia"/>
          <w:i w:val="0"/>
          <w:iCs w:val="0"/>
        </w:rPr>
        <w:t>年</w:t>
      </w:r>
      <w:r>
        <w:rPr>
          <w:i w:val="0"/>
          <w:iCs w:val="0"/>
        </w:rPr>
        <w:t>财报数据与关键指标</w:t>
      </w:r>
      <w:r>
        <w:rPr>
          <w:i w:val="0"/>
          <w:iCs w:val="0"/>
        </w:rPr>
        <w:tab/>
      </w:r>
      <w:r>
        <w:rPr>
          <w:i w:val="0"/>
          <w:iCs w:val="0"/>
        </w:rPr>
        <w:fldChar w:fldCharType="begin"/>
      </w:r>
      <w:r>
        <w:rPr>
          <w:i w:val="0"/>
          <w:iCs w:val="0"/>
        </w:rPr>
        <w:instrText xml:space="preserve"> PAGEREF _Toc25553 \h </w:instrText>
      </w:r>
      <w:r>
        <w:rPr>
          <w:i w:val="0"/>
          <w:iCs w:val="0"/>
        </w:rPr>
        <w:fldChar w:fldCharType="separate"/>
      </w:r>
      <w:r>
        <w:rPr>
          <w:i w:val="0"/>
          <w:iCs w:val="0"/>
        </w:rPr>
        <w:t>35</w:t>
      </w:r>
      <w:r>
        <w:rPr>
          <w:i w:val="0"/>
          <w:iCs w:val="0"/>
        </w:rPr>
        <w:fldChar w:fldCharType="end"/>
      </w:r>
      <w:r>
        <w:rPr>
          <w:rFonts w:hint="eastAsia"/>
          <w:i w:val="0"/>
          <w:iCs w:val="0"/>
        </w:rPr>
        <w:fldChar w:fldCharType="end"/>
      </w:r>
    </w:p>
    <w:p>
      <w:pPr>
        <w:pStyle w:val="17"/>
        <w:rPr>
          <w:i w:val="0"/>
          <w:iCs w:val="0"/>
        </w:rPr>
      </w:pPr>
      <w:r>
        <w:rPr>
          <w:rFonts w:hint="eastAsia"/>
          <w:i w:val="0"/>
          <w:iCs w:val="0"/>
        </w:rPr>
        <w:fldChar w:fldCharType="begin"/>
      </w:r>
      <w:r>
        <w:rPr>
          <w:rFonts w:hint="eastAsia"/>
          <w:i w:val="0"/>
          <w:iCs w:val="0"/>
        </w:rPr>
        <w:instrText xml:space="preserve"> HYPERLINK \l _Toc674 </w:instrText>
      </w:r>
      <w:r>
        <w:rPr>
          <w:rFonts w:hint="eastAsia"/>
          <w:i w:val="0"/>
          <w:iCs w:val="0"/>
        </w:rPr>
        <w:fldChar w:fldCharType="separate"/>
      </w:r>
      <w:r>
        <w:rPr>
          <w:rFonts w:hint="eastAsia"/>
          <w:i w:val="0"/>
          <w:iCs w:val="0"/>
        </w:rPr>
        <w:t>二、经营情况分析与未来盈利展望</w:t>
      </w:r>
      <w:r>
        <w:rPr>
          <w:i w:val="0"/>
          <w:iCs w:val="0"/>
        </w:rPr>
        <w:tab/>
      </w:r>
      <w:r>
        <w:rPr>
          <w:i w:val="0"/>
          <w:iCs w:val="0"/>
        </w:rPr>
        <w:fldChar w:fldCharType="begin"/>
      </w:r>
      <w:r>
        <w:rPr>
          <w:i w:val="0"/>
          <w:iCs w:val="0"/>
        </w:rPr>
        <w:instrText xml:space="preserve"> PAGEREF _Toc674 \h </w:instrText>
      </w:r>
      <w:r>
        <w:rPr>
          <w:i w:val="0"/>
          <w:iCs w:val="0"/>
        </w:rPr>
        <w:fldChar w:fldCharType="separate"/>
      </w:r>
      <w:r>
        <w:rPr>
          <w:i w:val="0"/>
          <w:iCs w:val="0"/>
        </w:rPr>
        <w:t>37</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_Toc6308 </w:instrText>
      </w:r>
      <w:r>
        <w:rPr>
          <w:rFonts w:hint="eastAsia"/>
          <w:i w:val="0"/>
          <w:iCs w:val="0"/>
        </w:rPr>
        <w:fldChar w:fldCharType="separate"/>
      </w:r>
      <w:r>
        <w:rPr>
          <w:i w:val="0"/>
          <w:iCs w:val="0"/>
        </w:rPr>
        <w:t>2.1经营情况分析</w:t>
      </w:r>
      <w:r>
        <w:rPr>
          <w:i w:val="0"/>
          <w:iCs w:val="0"/>
        </w:rPr>
        <w:tab/>
      </w:r>
      <w:r>
        <w:rPr>
          <w:i w:val="0"/>
          <w:iCs w:val="0"/>
        </w:rPr>
        <w:fldChar w:fldCharType="begin"/>
      </w:r>
      <w:r>
        <w:rPr>
          <w:i w:val="0"/>
          <w:iCs w:val="0"/>
        </w:rPr>
        <w:instrText xml:space="preserve"> PAGEREF _Toc6308 \h </w:instrText>
      </w:r>
      <w:r>
        <w:rPr>
          <w:i w:val="0"/>
          <w:iCs w:val="0"/>
        </w:rPr>
        <w:fldChar w:fldCharType="separate"/>
      </w:r>
      <w:r>
        <w:rPr>
          <w:i w:val="0"/>
          <w:iCs w:val="0"/>
        </w:rPr>
        <w:t>37</w:t>
      </w:r>
      <w:r>
        <w:rPr>
          <w:i w:val="0"/>
          <w:iCs w:val="0"/>
        </w:rPr>
        <w:fldChar w:fldCharType="end"/>
      </w:r>
      <w:r>
        <w:rPr>
          <w:rFonts w:hint="eastAsia"/>
          <w:i w:val="0"/>
          <w:iCs w:val="0"/>
        </w:rPr>
        <w:fldChar w:fldCharType="end"/>
      </w:r>
    </w:p>
    <w:p>
      <w:pPr>
        <w:pStyle w:val="12"/>
        <w:tabs>
          <w:tab w:val="right" w:leader="dot" w:pos="8296"/>
        </w:tabs>
        <w:spacing w:line="276" w:lineRule="auto"/>
        <w:ind w:firstLine="440"/>
        <w:rPr>
          <w:i w:val="0"/>
          <w:iCs w:val="0"/>
        </w:rPr>
      </w:pPr>
      <w:r>
        <w:rPr>
          <w:rFonts w:hint="eastAsia"/>
          <w:i w:val="0"/>
          <w:iCs w:val="0"/>
        </w:rPr>
        <w:fldChar w:fldCharType="begin"/>
      </w:r>
      <w:r>
        <w:rPr>
          <w:rFonts w:hint="eastAsia"/>
          <w:i w:val="0"/>
          <w:iCs w:val="0"/>
        </w:rPr>
        <w:instrText xml:space="preserve"> HYPERLINK \l _Toc14960 </w:instrText>
      </w:r>
      <w:r>
        <w:rPr>
          <w:rFonts w:hint="eastAsia"/>
          <w:i w:val="0"/>
          <w:iCs w:val="0"/>
        </w:rPr>
        <w:fldChar w:fldCharType="separate"/>
      </w:r>
      <w:r>
        <w:rPr>
          <w:i w:val="0"/>
          <w:iCs w:val="0"/>
        </w:rPr>
        <w:t>2.2盈利预测</w:t>
      </w:r>
      <w:r>
        <w:rPr>
          <w:i w:val="0"/>
          <w:iCs w:val="0"/>
        </w:rPr>
        <w:tab/>
      </w:r>
      <w:r>
        <w:rPr>
          <w:i w:val="0"/>
          <w:iCs w:val="0"/>
        </w:rPr>
        <w:fldChar w:fldCharType="begin"/>
      </w:r>
      <w:r>
        <w:rPr>
          <w:i w:val="0"/>
          <w:iCs w:val="0"/>
        </w:rPr>
        <w:instrText xml:space="preserve"> PAGEREF _Toc14960 \h </w:instrText>
      </w:r>
      <w:r>
        <w:rPr>
          <w:i w:val="0"/>
          <w:iCs w:val="0"/>
        </w:rPr>
        <w:fldChar w:fldCharType="separate"/>
      </w:r>
      <w:r>
        <w:rPr>
          <w:i w:val="0"/>
          <w:iCs w:val="0"/>
        </w:rPr>
        <w:t>42</w:t>
      </w:r>
      <w:r>
        <w:rPr>
          <w:i w:val="0"/>
          <w:iCs w:val="0"/>
        </w:rPr>
        <w:fldChar w:fldCharType="end"/>
      </w:r>
      <w:r>
        <w:rPr>
          <w:rFonts w:hint="eastAsia"/>
          <w:i w:val="0"/>
          <w:iCs w:val="0"/>
        </w:rPr>
        <w:fldChar w:fldCharType="end"/>
      </w:r>
    </w:p>
    <w:p>
      <w:pPr>
        <w:bidi w:val="0"/>
        <w:rPr>
          <w:rFonts w:hint="eastAsia"/>
        </w:rPr>
      </w:pPr>
      <w:r>
        <w:rPr>
          <w:rFonts w:hint="eastAsia"/>
          <w:i w:val="0"/>
          <w:iCs w:val="0"/>
        </w:rPr>
        <w:fldChar w:fldCharType="end"/>
      </w:r>
    </w:p>
    <w:p>
      <w:pPr>
        <w:bidi w:val="0"/>
        <w:rPr>
          <w:rFonts w:hint="eastAsia"/>
        </w:rPr>
        <w:sectPr>
          <w:pgSz w:w="11906" w:h="16838"/>
          <w:pgMar w:top="1440" w:right="1800" w:bottom="1440" w:left="1800" w:header="851" w:footer="992" w:gutter="0"/>
          <w:cols w:space="425" w:num="1"/>
          <w:docGrid w:type="lines" w:linePitch="312" w:charSpace="0"/>
        </w:sectPr>
      </w:pPr>
    </w:p>
    <w:p>
      <w:pPr>
        <w:pStyle w:val="2"/>
        <w:keepNext w:val="0"/>
        <w:keepLines w:val="0"/>
        <w:widowControl/>
        <w:tabs>
          <w:tab w:val="left" w:pos="0"/>
        </w:tabs>
        <w:adjustRightInd w:val="0"/>
        <w:spacing w:before="156" w:beforeLines="50" w:after="156" w:afterLines="50" w:line="360" w:lineRule="auto"/>
        <w:jc w:val="center"/>
        <w:rPr>
          <w:rFonts w:ascii="黑体" w:hAnsi="黑体" w:eastAsia="黑体" w:cs="方正小标宋"/>
          <w:b/>
          <w:bCs/>
          <w:color w:val="auto"/>
          <w:sz w:val="44"/>
          <w:szCs w:val="44"/>
        </w:rPr>
      </w:pPr>
      <w:bookmarkStart w:id="31" w:name="_Toc7585"/>
      <w:r>
        <w:rPr>
          <w:rFonts w:hint="eastAsia" w:ascii="黑体" w:hAnsi="黑体" w:eastAsia="黑体" w:cs="方正小标宋"/>
          <w:b/>
          <w:bCs/>
          <w:color w:val="auto"/>
          <w:sz w:val="44"/>
          <w:szCs w:val="44"/>
        </w:rPr>
        <w:t>第一章、</w:t>
      </w:r>
      <w:r>
        <w:rPr>
          <w:rFonts w:ascii="黑体" w:hAnsi="黑体" w:eastAsia="黑体" w:cs="方正小标宋"/>
          <w:b/>
          <w:bCs/>
          <w:color w:val="auto"/>
          <w:sz w:val="44"/>
          <w:szCs w:val="44"/>
        </w:rPr>
        <w:t>基本情况</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32" w:name="_Toc165950657"/>
      <w:bookmarkStart w:id="33" w:name="_Toc168082467"/>
      <w:bookmarkStart w:id="34" w:name="_Toc161842905"/>
      <w:bookmarkStart w:id="35" w:name="_Toc166878899"/>
      <w:bookmarkStart w:id="36" w:name="_Toc160331808"/>
      <w:bookmarkStart w:id="37" w:name="_Toc164980137"/>
      <w:bookmarkStart w:id="38" w:name="_Toc168770874"/>
      <w:bookmarkStart w:id="39" w:name="_Toc167560420"/>
      <w:bookmarkStart w:id="40" w:name="_Toc160525355"/>
      <w:bookmarkStart w:id="41" w:name="_Toc161605236"/>
      <w:bookmarkStart w:id="42" w:name="_Toc163034542"/>
      <w:bookmarkStart w:id="43" w:name="_Toc161538485"/>
      <w:bookmarkStart w:id="44" w:name="_Toc26466"/>
      <w:bookmarkStart w:id="45" w:name="_Toc162555945"/>
      <w:bookmarkStart w:id="46" w:name="_Toc10000"/>
      <w:bookmarkStart w:id="47" w:name="_Toc164442354"/>
      <w:r>
        <w:rPr>
          <w:rFonts w:hint="eastAsia" w:ascii="黑体" w:hAnsi="黑体" w:eastAsia="黑体" w:cs="黑体"/>
          <w:b/>
          <w:bCs/>
          <w:color w:val="auto"/>
          <w:sz w:val="36"/>
          <w:szCs w:val="36"/>
        </w:rPr>
        <w:t>一、历史沿革</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Start w:id="48" w:name="_Toc164442355"/>
      <w:bookmarkStart w:id="49" w:name="_Toc161605237"/>
      <w:bookmarkStart w:id="50" w:name="_Toc160525356"/>
      <w:bookmarkStart w:id="51" w:name="_Toc165950658"/>
      <w:bookmarkStart w:id="52" w:name="_Toc164980138"/>
      <w:bookmarkStart w:id="53" w:name="_Toc161538486"/>
      <w:bookmarkStart w:id="54" w:name="_Toc161842906"/>
      <w:bookmarkStart w:id="55" w:name="_Toc160331809"/>
      <w:bookmarkStart w:id="56" w:name="_Toc162555946"/>
      <w:bookmarkStart w:id="57" w:name="_Toc167560421"/>
      <w:bookmarkStart w:id="58" w:name="_Toc163034543"/>
      <w:bookmarkStart w:id="59" w:name="_Toc166878900"/>
    </w:p>
    <w:p>
      <w:pPr>
        <w:bidi w:val="0"/>
        <w:rPr>
          <w:rFonts w:hint="eastAsia" w:ascii="仿宋" w:hAnsi="仿宋" w:eastAsia="仿宋" w:cs="仿宋"/>
        </w:rPr>
      </w:pPr>
      <w:bookmarkStart w:id="60" w:name="_Toc168082468"/>
      <w:bookmarkStart w:id="61" w:name="_Toc8173"/>
      <w:bookmarkStart w:id="62" w:name="_Toc168770875"/>
      <w:r>
        <w:rPr>
          <w:rFonts w:hint="eastAsia" w:ascii="仿宋" w:hAnsi="仿宋" w:eastAsia="仿宋" w:cs="仿宋"/>
        </w:rPr>
        <w:t>亿利洁能股份有限公司（以下简称“亿利洁能”或“公司”）成立于1999年1月，由亿利资源集团有限公司作为主发起人发起设立，于2000年7月4日在上海证券交易所公开发行上市。</w:t>
      </w:r>
    </w:p>
    <w:p>
      <w:pPr>
        <w:bidi w:val="0"/>
        <w:rPr>
          <w:rFonts w:hint="eastAsia" w:ascii="仿宋" w:hAnsi="仿宋" w:eastAsia="仿宋" w:cs="仿宋"/>
        </w:rPr>
      </w:pPr>
      <w:r>
        <w:rPr>
          <w:rFonts w:hint="eastAsia" w:ascii="仿宋" w:hAnsi="仿宋" w:eastAsia="仿宋" w:cs="仿宋"/>
        </w:rPr>
        <w:t>为响应国家号召，公司加速由传统的能源化工向清洁能源转型，于2016年6月转让医药资产，2016年12月剥离4家低效非主营业务企业。2017年1月，经致同会计师事务所（特殊普通合伙）出具了验资报告（致同验字，【2017】）110ZC0055号）。截止2017年1月25日止，亿利洁能股份有限公司收到股东认缴股款人民币4,441,499,997.60元（已扣除发行费用人民币58,499,999.97元），发行价格6.93元/股，发行股份649,350,649股，发行后股本为273,894.0149万股，控股股东亿利资源集团持有公司股份132,993.1103万股，持股比例48.56%，推进“微煤雾化”清洁热力供应项目。</w:t>
      </w:r>
    </w:p>
    <w:p>
      <w:pPr>
        <w:bidi w:val="0"/>
        <w:rPr>
          <w:rFonts w:hint="eastAsia" w:ascii="仿宋" w:hAnsi="仿宋" w:eastAsia="仿宋" w:cs="仿宋"/>
        </w:rPr>
      </w:pPr>
      <w:r>
        <w:rPr>
          <w:rFonts w:hint="eastAsia" w:ascii="仿宋" w:hAnsi="仿宋" w:eastAsia="仿宋" w:cs="仿宋"/>
        </w:rPr>
        <w:t>2017年11月24日，公司董事会审议通过4.6亿元现金收购正利新能源49%股权和库布其生态70%股权方案。根据2020年年度股东大会决议，公司以资本公积转增股本82,168.2045万股，转增后股本为356,062.2194万元。目前公司主要业务包括传统氯碱、“微煤雾化”高效清洁能源利用、生态光伏三大块。</w:t>
      </w:r>
    </w:p>
    <w:p>
      <w:pPr>
        <w:bidi w:val="0"/>
        <w:rPr>
          <w:rFonts w:hint="eastAsia" w:ascii="仿宋" w:hAnsi="仿宋" w:eastAsia="仿宋" w:cs="仿宋"/>
          <w:lang w:eastAsia="zh-CN"/>
        </w:rPr>
      </w:pPr>
      <w:r>
        <w:rPr>
          <w:rFonts w:hint="eastAsia" w:ascii="仿宋" w:hAnsi="仿宋" w:eastAsia="仿宋" w:cs="仿宋"/>
        </w:rPr>
        <w:t>循环经济方面，公司构建了以PVC为核心的“煤-煤矸石发电-电石-离子膜烧碱、聚氯乙烯（PVC）-合成新材料-工业废渣综合利用生产水泥”的一体化循环经济产业链。该产业链包括公司全资的东博煤矿、参股49%的黄玉川煤矿，合计权益储量10.5亿吨，以及全资的年产64万吨环保型电石项目、控股的年产50万吨PVC、40万吨烧碱项目、配套2×50MW自备热电厂；参股4×200MW煤矸石发电机组；年产120万吨工业废渣制水泥项目。</w:t>
      </w:r>
    </w:p>
    <w:p>
      <w:pPr>
        <w:bidi w:val="0"/>
        <w:rPr>
          <w:rFonts w:hint="eastAsia" w:ascii="仿宋" w:hAnsi="仿宋" w:eastAsia="仿宋" w:cs="仿宋"/>
          <w:lang w:eastAsia="zh-CN"/>
        </w:rPr>
      </w:pPr>
      <w:r>
        <w:rPr>
          <w:rFonts w:hint="eastAsia" w:ascii="仿宋" w:hAnsi="仿宋" w:eastAsia="仿宋" w:cs="仿宋"/>
        </w:rPr>
        <w:t>同时，公司“微煤雾化”技术先进，致力于高效清洁能源投资与运营，成立了遍布全国的12个区域市场开发部。截至2017年9月，“微煤雾化”项目已落地山东、江苏、江西、安徽、河北等多个省区，已运营或试运营项目10个,915T/H，开工在建项目2个，160T/H，待开工项目3个，290T/H。武威项目一期已实现投产，新泰项目已开工建设。2017年三季度公司完成了兴化项目2×90t/h+1×18MW+1×6MW、天宁热电项目3×75t/h+1×12MW+1×6MW、山东曲阜项目70t/h和济宁唐口2×90t/h+1×0.9MW项目并购工作，另有6-8个规模近2000蒸吨的项目进入实质性收购洽谈阶段。未来，公司将持续通过自有资金、并购基金积极加大项目并购力度。</w:t>
      </w:r>
    </w:p>
    <w:p>
      <w:pPr>
        <w:bidi w:val="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2017年，</w:t>
      </w:r>
      <w:r>
        <w:rPr>
          <w:rFonts w:hint="eastAsia" w:ascii="仿宋" w:hAnsi="仿宋" w:eastAsia="仿宋" w:cs="仿宋"/>
        </w:rPr>
        <w:t>公司注入集团光伏资产。本次收购基本按净资产收购，正利新能源49%股权和库布其生态70%股权分别对应1.4亿元和3.2亿元，总计4.6亿元，增值率0.41%。正利新能源和库布其生态光伏发电规模分别为110MW和200MW，分别于2015年1月和2016年6月并网发电。本次收购将有利于提高公司ROE，显著改善公司业绩水平及结构，将带动公司向清洁能源产业加速转型升级。</w:t>
      </w:r>
    </w:p>
    <w:p>
      <w:pPr>
        <w:pStyle w:val="3"/>
        <w:keepNext w:val="0"/>
        <w:keepLines w:val="0"/>
        <w:widowControl/>
        <w:tabs>
          <w:tab w:val="left" w:pos="0"/>
        </w:tabs>
        <w:adjustRightInd w:val="0"/>
        <w:spacing w:before="0" w:after="156" w:afterLines="50" w:line="276" w:lineRule="auto"/>
        <w:ind w:firstLine="652"/>
        <w:rPr>
          <w:rFonts w:ascii="黑体" w:hAnsi="黑体" w:eastAsia="黑体" w:cs="黑体"/>
          <w:b/>
          <w:bCs/>
          <w:color w:val="auto"/>
          <w:sz w:val="36"/>
          <w:szCs w:val="36"/>
        </w:rPr>
      </w:pPr>
      <w:bookmarkStart w:id="63" w:name="_Toc29679"/>
      <w:r>
        <w:rPr>
          <w:rFonts w:hint="eastAsia" w:ascii="黑体" w:hAnsi="黑体" w:eastAsia="黑体" w:cs="黑体"/>
          <w:b/>
          <w:bCs/>
          <w:color w:val="auto"/>
          <w:sz w:val="36"/>
          <w:szCs w:val="36"/>
        </w:rPr>
        <w:t>二、股权结构</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4"/>
        <w:keepNext w:val="0"/>
        <w:keepLines w:val="0"/>
        <w:widowControl/>
        <w:tabs>
          <w:tab w:val="left" w:pos="0"/>
        </w:tabs>
        <w:adjustRightInd w:val="0"/>
        <w:spacing w:before="0" w:after="0" w:line="240" w:lineRule="auto"/>
        <w:ind w:firstLine="562" w:firstLineChars="200"/>
        <w:jc w:val="both"/>
        <w:rPr>
          <w:rFonts w:ascii="仿宋" w:hAnsi="仿宋" w:eastAsia="仿宋" w:cs="Times New Roman (正文 CS 字体)"/>
          <w:b/>
          <w:bCs/>
          <w:color w:val="auto"/>
          <w:sz w:val="28"/>
          <w:szCs w:val="28"/>
        </w:rPr>
      </w:pPr>
      <w:bookmarkStart w:id="64" w:name="_Toc164442356"/>
      <w:bookmarkStart w:id="65" w:name="_Toc168770876"/>
      <w:bookmarkStart w:id="66" w:name="_Toc167560422"/>
      <w:bookmarkStart w:id="67" w:name="_Toc165950659"/>
      <w:bookmarkStart w:id="68" w:name="_Toc161605238"/>
      <w:bookmarkStart w:id="69" w:name="_Toc163034544"/>
      <w:bookmarkStart w:id="70" w:name="_Toc162555947"/>
      <w:bookmarkStart w:id="71" w:name="_Toc161538487"/>
      <w:bookmarkStart w:id="72" w:name="_Toc161842907"/>
      <w:bookmarkStart w:id="73" w:name="_Toc168082469"/>
      <w:bookmarkStart w:id="74" w:name="_Toc164980139"/>
      <w:bookmarkStart w:id="75" w:name="_Toc166878901"/>
      <w:bookmarkStart w:id="76" w:name="_Toc160331810"/>
      <w:bookmarkStart w:id="77" w:name="_Toc19338"/>
      <w:bookmarkStart w:id="78" w:name="_Toc160525357"/>
      <w:bookmarkStart w:id="79" w:name="_Toc6492"/>
      <w:r>
        <w:rPr>
          <w:rFonts w:ascii="仿宋" w:hAnsi="仿宋" w:eastAsia="仿宋" w:cs="Times New Roman (正文 CS 字体)"/>
          <w:b/>
          <w:bCs/>
          <w:color w:val="auto"/>
          <w:sz w:val="28"/>
          <w:szCs w:val="28"/>
        </w:rPr>
        <w:t>2.1股本结构及其变动情况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ind w:firstLine="560"/>
        <w:rPr>
          <w:rFonts w:ascii="仿宋" w:hAnsi="仿宋"/>
        </w:rPr>
      </w:pPr>
      <w:r>
        <w:rPr>
          <w:rFonts w:hint="eastAsia" w:ascii="仿宋" w:hAnsi="仿宋"/>
        </w:rPr>
        <w:t>截至2023年12月31日，</w:t>
      </w:r>
      <w:r>
        <w:rPr>
          <w:rFonts w:hint="eastAsia" w:ascii="仿宋" w:hAnsi="仿宋"/>
          <w:lang w:eastAsia="zh-CN"/>
        </w:rPr>
        <w:t>亿利洁能</w:t>
      </w:r>
      <w:r>
        <w:rPr>
          <w:rFonts w:hint="eastAsia" w:ascii="仿宋" w:hAnsi="仿宋"/>
        </w:rPr>
        <w:t>总股本为</w:t>
      </w:r>
      <w:r>
        <w:rPr>
          <w:rFonts w:hint="eastAsia" w:ascii="仿宋" w:hAnsi="仿宋"/>
          <w:lang w:val="en-US" w:eastAsia="zh-CN"/>
        </w:rPr>
        <w:t>356062.22</w:t>
      </w:r>
      <w:r>
        <w:rPr>
          <w:rFonts w:hint="eastAsia" w:ascii="仿宋" w:hAnsi="仿宋"/>
        </w:rPr>
        <w:t>万股，其中流通</w:t>
      </w:r>
      <w:r>
        <w:rPr>
          <w:rFonts w:ascii="仿宋" w:hAnsi="仿宋"/>
        </w:rPr>
        <w:t>A</w:t>
      </w:r>
      <w:r>
        <w:rPr>
          <w:rFonts w:hint="eastAsia" w:ascii="仿宋" w:hAnsi="仿宋"/>
        </w:rPr>
        <w:t>股为</w:t>
      </w:r>
      <w:r>
        <w:rPr>
          <w:rFonts w:hint="eastAsia" w:ascii="仿宋" w:hAnsi="仿宋"/>
          <w:lang w:val="en-US" w:eastAsia="zh-CN"/>
        </w:rPr>
        <w:t>356062.22</w:t>
      </w:r>
      <w:r>
        <w:rPr>
          <w:rFonts w:hint="eastAsia" w:ascii="仿宋" w:hAnsi="仿宋"/>
        </w:rPr>
        <w:t>万股，占总股本的</w:t>
      </w:r>
      <w:r>
        <w:rPr>
          <w:rFonts w:hint="eastAsia" w:ascii="仿宋" w:hAnsi="仿宋"/>
          <w:lang w:val="en-US" w:eastAsia="zh-CN"/>
        </w:rPr>
        <w:t>100</w:t>
      </w:r>
      <w:r>
        <w:rPr>
          <w:rFonts w:hint="eastAsia" w:ascii="仿宋" w:hAnsi="仿宋"/>
        </w:rPr>
        <w:t>%，</w:t>
      </w:r>
      <w:r>
        <w:rPr>
          <w:rFonts w:hint="eastAsia" w:ascii="仿宋" w:hAnsi="仿宋"/>
          <w:lang w:val="en-US" w:eastAsia="zh-CN"/>
        </w:rPr>
        <w:t>无</w:t>
      </w:r>
      <w:r>
        <w:rPr>
          <w:rFonts w:hint="eastAsia" w:ascii="仿宋" w:hAnsi="仿宋"/>
        </w:rPr>
        <w:t>限售股。</w:t>
      </w:r>
    </w:p>
    <w:p>
      <w:pPr>
        <w:ind w:firstLine="0" w:firstLineChars="0"/>
        <w:jc w:val="center"/>
        <w:rPr>
          <w:rFonts w:ascii="黑体" w:hAnsi="黑体" w:eastAsia="黑体"/>
          <w:sz w:val="24"/>
          <w:szCs w:val="24"/>
        </w:rPr>
      </w:pPr>
      <w:r>
        <w:rPr>
          <w:rFonts w:hint="eastAsia" w:ascii="黑体" w:hAnsi="黑体" w:eastAsia="黑体"/>
          <w:sz w:val="24"/>
          <w:szCs w:val="24"/>
        </w:rPr>
        <w:t>表1</w:t>
      </w:r>
      <w:r>
        <w:rPr>
          <w:rFonts w:hint="eastAsia" w:ascii="黑体" w:hAnsi="黑体" w:eastAsia="黑体"/>
          <w:sz w:val="24"/>
          <w:szCs w:val="24"/>
          <w:lang w:val="en-US" w:eastAsia="zh-CN"/>
        </w:rPr>
        <w:t xml:space="preserve">  </w:t>
      </w:r>
      <w:r>
        <w:rPr>
          <w:rFonts w:hint="eastAsia" w:ascii="黑体" w:hAnsi="黑体" w:eastAsia="黑体"/>
          <w:sz w:val="24"/>
          <w:szCs w:val="24"/>
          <w:lang w:eastAsia="zh-CN"/>
        </w:rPr>
        <w:t>亿利洁能</w:t>
      </w:r>
      <w:r>
        <w:rPr>
          <w:rFonts w:hint="eastAsia" w:ascii="黑体" w:hAnsi="黑体" w:eastAsia="黑体"/>
          <w:sz w:val="24"/>
          <w:szCs w:val="24"/>
        </w:rPr>
        <w:t>股本近</w:t>
      </w:r>
      <w:r>
        <w:rPr>
          <w:rFonts w:hint="eastAsia" w:ascii="黑体" w:hAnsi="黑体" w:eastAsia="黑体"/>
          <w:sz w:val="24"/>
          <w:szCs w:val="24"/>
          <w:lang w:val="en-US" w:eastAsia="zh-CN"/>
        </w:rPr>
        <w:t>年来</w:t>
      </w:r>
      <w:r>
        <w:rPr>
          <w:rFonts w:hint="eastAsia" w:ascii="黑体" w:hAnsi="黑体" w:eastAsia="黑体"/>
          <w:sz w:val="24"/>
          <w:szCs w:val="24"/>
        </w:rPr>
        <w:t>股本结构表</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36"/>
        <w:gridCol w:w="1395"/>
        <w:gridCol w:w="1395"/>
        <w:gridCol w:w="1395"/>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p>
        </w:tc>
        <w:tc>
          <w:tcPr>
            <w:tcW w:w="9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2021-08-25</w:t>
            </w:r>
          </w:p>
        </w:tc>
        <w:tc>
          <w:tcPr>
            <w:tcW w:w="9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2021-08-24</w:t>
            </w:r>
          </w:p>
        </w:tc>
        <w:tc>
          <w:tcPr>
            <w:tcW w:w="9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2020-02-10</w:t>
            </w:r>
          </w:p>
        </w:tc>
        <w:tc>
          <w:tcPr>
            <w:tcW w:w="90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2018-02-12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总股本</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356,062.22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356,062.22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流通股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356,062.22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267,400.51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356,062.22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273,894.01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267,400.51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流通B股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流通H股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境外流通股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三板A股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三板B股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限售股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限售A股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国家持股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国有法人持股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其他内资持股合计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境内法人持股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6,493.51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机构配售股份</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高管持股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其他境内自然人持股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外资持股合计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境外法人持股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境外自然人持股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限售B股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限售H股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其他未流通股份</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82,168.20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(以下为股改或上市前的非流通股明细)</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非流通股本</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国有股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国家股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国有法人持股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境内法人股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境内发起人股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募集法人股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一般法人股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战略投资者持股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基金持有获配股余额</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自然人发起人股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转配股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高管股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内部职工股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优先股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非上市外资股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原STAQ流通股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原NET流通股</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股本变动原因</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公积金转增股本</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公积金转增股本</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配售股份上市</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配售股份上市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公告日期</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2021-08-17</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2021-08-17</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2020-02-05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2018-02-07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变动日期</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2021-08-25</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2021-08-24</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2020-02-10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2018-02-12</w:t>
            </w:r>
          </w:p>
        </w:tc>
      </w:tr>
    </w:tbl>
    <w:p>
      <w:pPr>
        <w:ind w:firstLine="400"/>
        <w:jc w:val="right"/>
        <w:rPr>
          <w:sz w:val="20"/>
          <w:szCs w:val="20"/>
        </w:rPr>
      </w:pPr>
      <w:r>
        <w:rPr>
          <w:sz w:val="20"/>
          <w:szCs w:val="20"/>
        </w:rPr>
        <w:t>数据来源：同花顺iFinD</w:t>
      </w:r>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sectPr>
          <w:pgSz w:w="11906" w:h="16838"/>
          <w:pgMar w:top="1440" w:right="1800" w:bottom="1440" w:left="1800" w:header="851" w:footer="992" w:gutter="0"/>
          <w:cols w:space="425" w:num="1"/>
          <w:docGrid w:type="lines" w:linePitch="312" w:charSpace="0"/>
        </w:sectPr>
      </w:pPr>
      <w:bookmarkStart w:id="80" w:name="_Toc163034545"/>
      <w:bookmarkStart w:id="81" w:name="_Toc160525358"/>
      <w:bookmarkStart w:id="82" w:name="_Toc164442357"/>
      <w:bookmarkStart w:id="83" w:name="_Toc161538488"/>
      <w:bookmarkStart w:id="84" w:name="_Toc164980140"/>
      <w:bookmarkStart w:id="85" w:name="_Toc160331811"/>
      <w:bookmarkStart w:id="86" w:name="_Toc162555948"/>
      <w:bookmarkStart w:id="87" w:name="_Toc161605239"/>
      <w:bookmarkStart w:id="88" w:name="_Toc161842908"/>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89" w:name="_Toc166878902"/>
      <w:bookmarkStart w:id="90" w:name="_Toc167560423"/>
      <w:bookmarkStart w:id="91" w:name="_Toc17772"/>
      <w:bookmarkStart w:id="92" w:name="_Toc168082470"/>
      <w:bookmarkStart w:id="93" w:name="_Toc168770877"/>
      <w:bookmarkStart w:id="94" w:name="_Toc23777"/>
      <w:bookmarkStart w:id="95" w:name="_Toc165950660"/>
      <w:r>
        <w:rPr>
          <w:rFonts w:ascii="仿宋" w:hAnsi="仿宋" w:eastAsia="仿宋" w:cs="Times New Roman (正文 CS 字体)"/>
          <w:b/>
          <w:bCs/>
          <w:color w:val="auto"/>
          <w:sz w:val="28"/>
          <w:szCs w:val="28"/>
        </w:rPr>
        <w:t>2.2前十名股东及其持股情况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表</w:t>
      </w:r>
      <w:r>
        <w:rPr>
          <w:rFonts w:ascii="黑体" w:hAnsi="黑体" w:eastAsia="黑体"/>
          <w:sz w:val="24"/>
          <w:szCs w:val="24"/>
        </w:rPr>
        <w:t>2</w:t>
      </w:r>
      <w:r>
        <w:rPr>
          <w:rFonts w:hint="eastAsia" w:ascii="黑体" w:hAnsi="黑体" w:eastAsia="黑体"/>
          <w:sz w:val="24"/>
          <w:szCs w:val="24"/>
          <w:lang w:val="en-US" w:eastAsia="zh-CN"/>
        </w:rPr>
        <w:t xml:space="preserve">  </w:t>
      </w:r>
      <w:r>
        <w:rPr>
          <w:rFonts w:hint="eastAsia" w:ascii="黑体" w:hAnsi="黑体" w:eastAsia="黑体"/>
          <w:sz w:val="24"/>
          <w:szCs w:val="24"/>
          <w:lang w:eastAsia="zh-CN"/>
        </w:rPr>
        <w:t>亿利洁能</w:t>
      </w:r>
      <w:r>
        <w:rPr>
          <w:rFonts w:hint="eastAsia" w:ascii="黑体" w:hAnsi="黑体" w:eastAsia="黑体"/>
          <w:sz w:val="24"/>
          <w:szCs w:val="24"/>
        </w:rPr>
        <w:t>前十名股东汇总表</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7"/>
        <w:gridCol w:w="692"/>
        <w:gridCol w:w="730"/>
        <w:gridCol w:w="657"/>
        <w:gridCol w:w="510"/>
        <w:gridCol w:w="657"/>
        <w:gridCol w:w="510"/>
        <w:gridCol w:w="657"/>
        <w:gridCol w:w="510"/>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股东名称</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持股数量(股)</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参考市值(亿元)</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占总股本比例</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变动方向</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变动股数(股)</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变动比例</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持限售股(股)</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股本性质</w:t>
            </w:r>
          </w:p>
        </w:tc>
        <w:tc>
          <w:tcPr>
            <w:tcW w:w="0" w:type="auto"/>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股东性质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亿利资源集团有限公司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1,219,243,000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不变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境内非国有法人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三峡(安徽)能源投资有限公司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397,800,000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不变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国有法人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财通基金-宁波银行-万向信托-万向信托-亿利6号事务管理类单一资金信托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41,426,287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不变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宁波梅山保税港区东峪投资合伙企业(有限合伙)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36,006,034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不变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杨竣凯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34,508,190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境内自然人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广发证券股份有限公司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24,238,099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减少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香港中央结算有限公司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19,430,846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2,479,019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银河德睿资本管理有限公司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16,132,988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新进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金元顺安基金-兴业银行-万向信托-万向信托-亿利5号事务管理类单一资金信托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13,203,383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新进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杨佳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10,195,452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新进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流通A股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境内自然人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1,812,184,279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bl>
    <w:p>
      <w:pPr>
        <w:ind w:firstLine="400"/>
        <w:jc w:val="right"/>
        <w:rPr>
          <w:rFonts w:ascii="仿宋" w:hAnsi="仿宋" w:cs="Calibri"/>
          <w:color w:val="000000"/>
          <w:kern w:val="0"/>
          <w:sz w:val="20"/>
          <w:szCs w:val="20"/>
        </w:rPr>
      </w:pPr>
      <w:r>
        <w:rPr>
          <w:rFonts w:ascii="仿宋" w:hAnsi="仿宋" w:cs="Calibri"/>
          <w:color w:val="000000"/>
          <w:kern w:val="0"/>
          <w:sz w:val="20"/>
          <w:szCs w:val="20"/>
        </w:rPr>
        <w:t>数据来源：</w:t>
      </w:r>
      <w:r>
        <w:rPr>
          <w:rFonts w:hint="eastAsia" w:ascii="仿宋" w:hAnsi="仿宋" w:cs="Calibri"/>
          <w:color w:val="000000"/>
          <w:kern w:val="0"/>
          <w:sz w:val="20"/>
          <w:szCs w:val="20"/>
          <w:lang w:eastAsia="zh-CN"/>
        </w:rPr>
        <w:t>亿利洁能</w:t>
      </w:r>
      <w:r>
        <w:rPr>
          <w:rFonts w:hint="eastAsia" w:ascii="仿宋" w:hAnsi="仿宋" w:cs="Calibri"/>
          <w:color w:val="000000"/>
          <w:kern w:val="0"/>
          <w:sz w:val="20"/>
          <w:szCs w:val="20"/>
        </w:rPr>
        <w:t>2023年年报</w:t>
      </w:r>
      <w:bookmarkStart w:id="96" w:name="_Toc160331812"/>
      <w:bookmarkStart w:id="97" w:name="_Toc160525359"/>
      <w:bookmarkStart w:id="98" w:name="_Toc161538489"/>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sectPr>
          <w:pgSz w:w="11906" w:h="16838"/>
          <w:pgMar w:top="1440" w:right="1800" w:bottom="1440" w:left="1800" w:header="851" w:footer="992" w:gutter="0"/>
          <w:cols w:space="425" w:num="1"/>
          <w:docGrid w:type="lines" w:linePitch="312" w:charSpace="0"/>
        </w:sectPr>
      </w:pPr>
      <w:bookmarkStart w:id="99" w:name="_Toc161605240"/>
      <w:bookmarkStart w:id="100" w:name="_Toc164442358"/>
      <w:bookmarkStart w:id="101" w:name="_Toc161842909"/>
      <w:bookmarkStart w:id="102" w:name="_Toc163034546"/>
      <w:bookmarkStart w:id="103" w:name="_Toc162555949"/>
      <w:bookmarkStart w:id="104" w:name="_Toc164980141"/>
    </w:p>
    <w:bookmarkEnd w:id="96"/>
    <w:bookmarkEnd w:id="97"/>
    <w:bookmarkEnd w:id="98"/>
    <w:bookmarkEnd w:id="99"/>
    <w:bookmarkEnd w:id="100"/>
    <w:bookmarkEnd w:id="101"/>
    <w:bookmarkEnd w:id="102"/>
    <w:bookmarkEnd w:id="103"/>
    <w:bookmarkEnd w:id="104"/>
    <w:p>
      <w:pPr>
        <w:pStyle w:val="4"/>
        <w:keepNext w:val="0"/>
        <w:keepLines w:val="0"/>
        <w:pageBreakBefore w:val="0"/>
        <w:widowControl/>
        <w:tabs>
          <w:tab w:val="left" w:pos="0"/>
        </w:tabs>
        <w:kinsoku/>
        <w:wordWrap/>
        <w:overflowPunct/>
        <w:topLinePunct w:val="0"/>
        <w:autoSpaceDE/>
        <w:autoSpaceDN/>
        <w:bidi w:val="0"/>
        <w:adjustRightInd w:val="0"/>
        <w:snapToGrid/>
        <w:spacing w:before="0" w:after="0" w:line="240" w:lineRule="auto"/>
        <w:ind w:firstLine="562" w:firstLineChars="200"/>
        <w:jc w:val="both"/>
        <w:textAlignment w:val="auto"/>
        <w:rPr>
          <w:rFonts w:ascii="仿宋" w:hAnsi="仿宋" w:eastAsia="仿宋" w:cs="Times New Roman (正文 CS 字体)"/>
          <w:b/>
          <w:bCs/>
          <w:color w:val="auto"/>
          <w:sz w:val="28"/>
          <w:szCs w:val="28"/>
        </w:rPr>
      </w:pPr>
      <w:bookmarkStart w:id="105" w:name="_Toc165950661"/>
      <w:bookmarkStart w:id="106" w:name="_Toc168082471"/>
      <w:bookmarkStart w:id="107" w:name="_Toc167560424"/>
      <w:bookmarkStart w:id="108" w:name="_Toc28825"/>
      <w:bookmarkStart w:id="109" w:name="_Toc27347"/>
      <w:bookmarkStart w:id="110" w:name="_Toc168770878"/>
      <w:bookmarkStart w:id="111" w:name="_Toc166878903"/>
      <w:bookmarkStart w:id="112" w:name="_Toc167560425"/>
      <w:bookmarkStart w:id="113" w:name="_Toc160331813"/>
      <w:bookmarkStart w:id="114" w:name="_Toc163034547"/>
      <w:bookmarkStart w:id="115" w:name="_Toc161605241"/>
      <w:bookmarkStart w:id="116" w:name="_Toc161842910"/>
      <w:bookmarkStart w:id="117" w:name="_Toc160525360"/>
      <w:bookmarkStart w:id="118" w:name="_Toc166878904"/>
      <w:bookmarkStart w:id="119" w:name="_Toc161538490"/>
      <w:bookmarkStart w:id="120" w:name="_Toc162555950"/>
      <w:bookmarkStart w:id="121" w:name="_Toc164980142"/>
      <w:bookmarkStart w:id="122" w:name="_Toc165950662"/>
      <w:bookmarkStart w:id="123" w:name="_Toc168082472"/>
      <w:bookmarkStart w:id="124" w:name="_Toc164442359"/>
      <w:r>
        <w:rPr>
          <w:rFonts w:ascii="仿宋" w:hAnsi="仿宋" w:eastAsia="仿宋" w:cs="Times New Roman (正文 CS 字体)"/>
          <w:b/>
          <w:bCs/>
          <w:color w:val="auto"/>
          <w:sz w:val="28"/>
          <w:szCs w:val="28"/>
        </w:rPr>
        <w:t>2.3</w:t>
      </w:r>
      <w:r>
        <w:rPr>
          <w:rFonts w:hint="eastAsia" w:ascii="仿宋" w:hAnsi="仿宋" w:eastAsia="仿宋" w:cs="Times New Roman (正文 CS 字体)"/>
          <w:b/>
          <w:bCs/>
          <w:color w:val="auto"/>
          <w:sz w:val="28"/>
          <w:szCs w:val="28"/>
        </w:rPr>
        <w:t>控股股东及</w:t>
      </w:r>
      <w:r>
        <w:rPr>
          <w:rFonts w:ascii="仿宋" w:hAnsi="仿宋" w:eastAsia="仿宋" w:cs="Times New Roman (正文 CS 字体)"/>
          <w:b/>
          <w:bCs/>
          <w:color w:val="auto"/>
          <w:sz w:val="28"/>
          <w:szCs w:val="28"/>
        </w:rPr>
        <w:t>实际控制人情况</w:t>
      </w:r>
      <w:bookmarkEnd w:id="105"/>
      <w:bookmarkEnd w:id="106"/>
      <w:bookmarkEnd w:id="107"/>
      <w:bookmarkEnd w:id="108"/>
      <w:bookmarkEnd w:id="109"/>
      <w:bookmarkEnd w:id="110"/>
      <w:bookmarkEnd w:id="111"/>
    </w:p>
    <w:p>
      <w:pPr>
        <w:keepNext w:val="0"/>
        <w:keepLines w:val="0"/>
        <w:pageBreakBefore w:val="0"/>
        <w:widowControl/>
        <w:kinsoku/>
        <w:wordWrap/>
        <w:overflowPunct/>
        <w:topLinePunct w:val="0"/>
        <w:autoSpaceDE/>
        <w:autoSpaceDN/>
        <w:bidi w:val="0"/>
        <w:adjustRightInd w:val="0"/>
        <w:snapToGrid/>
        <w:spacing w:line="440" w:lineRule="exact"/>
        <w:textAlignment w:val="auto"/>
        <w:rPr>
          <w:rFonts w:hint="eastAsia" w:ascii="仿宋" w:hAnsi="仿宋" w:eastAsia="仿宋" w:cs="仿宋"/>
          <w:lang w:val="en-US" w:eastAsia="zh-CN"/>
        </w:rPr>
      </w:pPr>
      <w:r>
        <w:rPr>
          <w:rFonts w:hint="eastAsia" w:ascii="仿宋" w:hAnsi="仿宋" w:eastAsia="仿宋" w:cs="仿宋"/>
          <w:lang w:val="en-US" w:eastAsia="zh-CN"/>
        </w:rPr>
        <w:t>（1）控股股东</w:t>
      </w:r>
    </w:p>
    <w:p>
      <w:pPr>
        <w:bidi w:val="0"/>
        <w:rPr>
          <w:rFonts w:hint="eastAsia" w:ascii="仿宋" w:hAnsi="仿宋" w:eastAsia="仿宋" w:cs="仿宋"/>
          <w:lang w:val="en-US" w:eastAsia="zh-CN"/>
        </w:rPr>
      </w:pPr>
      <w:r>
        <w:rPr>
          <w:rFonts w:hint="eastAsia" w:ascii="仿宋" w:hAnsi="仿宋" w:eastAsia="仿宋" w:cs="仿宋"/>
          <w:lang w:val="en-US" w:eastAsia="zh-CN"/>
        </w:rPr>
        <w:t>亿利洁能公司的控股股东为</w:t>
      </w:r>
      <w:r>
        <w:rPr>
          <w:rFonts w:hint="eastAsia" w:ascii="仿宋" w:hAnsi="仿宋" w:eastAsia="仿宋" w:cs="仿宋"/>
        </w:rPr>
        <w:t>亿利资源集团有限公司</w:t>
      </w:r>
      <w:r>
        <w:rPr>
          <w:rFonts w:hint="eastAsia" w:ascii="仿宋" w:hAnsi="仿宋" w:eastAsia="仿宋" w:cs="仿宋"/>
          <w:lang w:val="en-US" w:eastAsia="zh-CN"/>
        </w:rPr>
        <w:t>，截至2023年12月31日，</w:t>
      </w:r>
      <w:r>
        <w:rPr>
          <w:rFonts w:hint="eastAsia" w:ascii="仿宋" w:hAnsi="仿宋" w:eastAsia="仿宋" w:cs="仿宋"/>
        </w:rPr>
        <w:t>亿利资源集团有限公司</w:t>
      </w:r>
      <w:r>
        <w:rPr>
          <w:rFonts w:hint="eastAsia" w:ascii="仿宋" w:hAnsi="仿宋" w:eastAsia="仿宋" w:cs="仿宋"/>
          <w:lang w:val="en-US" w:eastAsia="zh-CN"/>
        </w:rPr>
        <w:t>持有亿利洁能34.24%股份。</w:t>
      </w:r>
    </w:p>
    <w:p>
      <w:pPr>
        <w:bidi w:val="0"/>
        <w:rPr>
          <w:rFonts w:hint="eastAsia" w:ascii="仿宋" w:hAnsi="仿宋" w:eastAsia="仿宋" w:cs="仿宋"/>
          <w:lang w:val="en-US" w:eastAsia="zh-CN"/>
        </w:rPr>
      </w:pPr>
      <w:r>
        <w:rPr>
          <w:rFonts w:hint="eastAsia" w:ascii="仿宋" w:hAnsi="仿宋" w:eastAsia="仿宋" w:cs="仿宋"/>
          <w:lang w:val="en-US" w:eastAsia="zh-CN"/>
        </w:rPr>
        <w:t>控股股东性质：境内非国有法人</w:t>
      </w:r>
    </w:p>
    <w:p>
      <w:pPr>
        <w:bidi w:val="0"/>
        <w:rPr>
          <w:rFonts w:hint="eastAsia" w:ascii="仿宋" w:hAnsi="仿宋" w:eastAsia="仿宋" w:cs="仿宋"/>
          <w:lang w:val="en-US" w:eastAsia="zh-CN"/>
        </w:rPr>
      </w:pPr>
      <w:r>
        <w:rPr>
          <w:rFonts w:hint="eastAsia" w:ascii="仿宋" w:hAnsi="仿宋" w:eastAsia="仿宋" w:cs="仿宋"/>
          <w:lang w:val="en-US" w:eastAsia="zh-CN"/>
        </w:rPr>
        <w:t>控股股东类型：法人</w:t>
      </w:r>
    </w:p>
    <w:p>
      <w:pPr>
        <w:bidi w:val="0"/>
        <w:rPr>
          <w:rFonts w:hint="eastAsia" w:ascii="仿宋" w:hAnsi="仿宋" w:eastAsia="仿宋" w:cs="仿宋"/>
          <w:lang w:val="en-US" w:eastAsia="zh-CN"/>
        </w:rPr>
      </w:pPr>
      <w:r>
        <w:rPr>
          <w:rFonts w:hint="eastAsia" w:ascii="仿宋" w:hAnsi="仿宋" w:eastAsia="仿宋" w:cs="仿宋"/>
          <w:lang w:val="en-US" w:eastAsia="zh-CN"/>
        </w:rPr>
        <w:t>控股股东名称：</w:t>
      </w:r>
      <w:r>
        <w:rPr>
          <w:rFonts w:hint="eastAsia" w:ascii="仿宋" w:hAnsi="仿宋" w:eastAsia="仿宋" w:cs="仿宋"/>
        </w:rPr>
        <w:t>亿利资源集团有限公司</w:t>
      </w:r>
    </w:p>
    <w:p>
      <w:pPr>
        <w:bidi w:val="0"/>
        <w:rPr>
          <w:rFonts w:hint="eastAsia" w:ascii="仿宋" w:hAnsi="仿宋" w:eastAsia="仿宋" w:cs="仿宋"/>
          <w:lang w:val="en-US" w:eastAsia="zh-CN"/>
        </w:rPr>
      </w:pPr>
      <w:r>
        <w:rPr>
          <w:rFonts w:hint="eastAsia" w:ascii="仿宋" w:hAnsi="仿宋" w:eastAsia="仿宋" w:cs="仿宋"/>
          <w:lang w:val="en-US" w:eastAsia="zh-CN"/>
        </w:rPr>
        <w:t>法定代表人/单位负责人：</w:t>
      </w:r>
      <w:r>
        <w:rPr>
          <w:rFonts w:hint="eastAsia" w:ascii="仿宋" w:hAnsi="仿宋" w:eastAsia="仿宋" w:cs="仿宋"/>
        </w:rPr>
        <w:t>王伟韬</w:t>
      </w:r>
    </w:p>
    <w:p>
      <w:pPr>
        <w:bidi w:val="0"/>
        <w:rPr>
          <w:rFonts w:hint="eastAsia" w:ascii="仿宋" w:hAnsi="仿宋" w:eastAsia="仿宋" w:cs="仿宋"/>
          <w:lang w:val="en-US" w:eastAsia="zh-CN"/>
        </w:rPr>
      </w:pPr>
      <w:r>
        <w:rPr>
          <w:rFonts w:hint="eastAsia" w:ascii="仿宋" w:hAnsi="仿宋" w:eastAsia="仿宋" w:cs="仿宋"/>
          <w:lang w:val="en-US" w:eastAsia="zh-CN"/>
        </w:rPr>
        <w:t>成立日期：2002年2月26日</w:t>
      </w:r>
    </w:p>
    <w:p>
      <w:pPr>
        <w:bidi w:val="0"/>
        <w:rPr>
          <w:rFonts w:hint="eastAsia" w:ascii="仿宋" w:hAnsi="仿宋" w:eastAsia="仿宋" w:cs="仿宋"/>
          <w:lang w:val="en-US" w:eastAsia="zh-CN"/>
        </w:rPr>
      </w:pPr>
      <w:r>
        <w:rPr>
          <w:rFonts w:hint="eastAsia" w:ascii="仿宋" w:hAnsi="仿宋" w:eastAsia="仿宋" w:cs="仿宋"/>
          <w:lang w:val="en-US" w:eastAsia="zh-CN"/>
        </w:rPr>
        <w:t>组织机构代码：91150600116933283H</w:t>
      </w:r>
    </w:p>
    <w:p>
      <w:pPr>
        <w:bidi w:val="0"/>
        <w:rPr>
          <w:rFonts w:hint="eastAsia" w:ascii="仿宋" w:hAnsi="仿宋" w:eastAsia="仿宋" w:cs="仿宋"/>
          <w:lang w:val="en-US" w:eastAsia="zh-CN"/>
        </w:rPr>
      </w:pPr>
      <w:r>
        <w:rPr>
          <w:rFonts w:hint="eastAsia" w:ascii="仿宋" w:hAnsi="仿宋" w:eastAsia="仿宋" w:cs="仿宋"/>
          <w:lang w:val="en-US" w:eastAsia="zh-CN"/>
        </w:rPr>
        <w:t>主要经营业务：</w:t>
      </w:r>
      <w:r>
        <w:rPr>
          <w:rFonts w:hint="eastAsia" w:ascii="仿宋" w:hAnsi="仿宋" w:eastAsia="仿宋" w:cs="仿宋"/>
        </w:rPr>
        <w:t>物业管理</w:t>
      </w:r>
      <w:r>
        <w:rPr>
          <w:rFonts w:hint="eastAsia" w:ascii="仿宋" w:hAnsi="仿宋" w:cs="仿宋"/>
          <w:lang w:eastAsia="zh-CN"/>
        </w:rPr>
        <w:t>；</w:t>
      </w:r>
      <w:r>
        <w:rPr>
          <w:rFonts w:hint="eastAsia" w:ascii="仿宋" w:hAnsi="仿宋" w:eastAsia="仿宋" w:cs="仿宋"/>
        </w:rPr>
        <w:t>货物进出口</w:t>
      </w:r>
      <w:r>
        <w:rPr>
          <w:rFonts w:hint="eastAsia" w:ascii="仿宋" w:hAnsi="仿宋" w:cs="仿宋"/>
          <w:lang w:eastAsia="zh-CN"/>
        </w:rPr>
        <w:t>；</w:t>
      </w:r>
      <w:r>
        <w:rPr>
          <w:rFonts w:hint="eastAsia" w:ascii="仿宋" w:hAnsi="仿宋" w:eastAsia="仿宋" w:cs="仿宋"/>
        </w:rPr>
        <w:t>技术进出口</w:t>
      </w:r>
      <w:r>
        <w:rPr>
          <w:rFonts w:hint="eastAsia" w:ascii="仿宋" w:hAnsi="仿宋" w:cs="仿宋"/>
          <w:lang w:eastAsia="zh-CN"/>
        </w:rPr>
        <w:t>；</w:t>
      </w:r>
      <w:r>
        <w:rPr>
          <w:rFonts w:hint="eastAsia" w:ascii="仿宋" w:hAnsi="仿宋" w:eastAsia="仿宋" w:cs="仿宋"/>
        </w:rPr>
        <w:t>进出口代理</w:t>
      </w:r>
      <w:r>
        <w:rPr>
          <w:rFonts w:hint="eastAsia" w:ascii="仿宋" w:hAnsi="仿宋" w:cs="仿宋"/>
          <w:lang w:eastAsia="zh-CN"/>
        </w:rPr>
        <w:t>；</w:t>
      </w:r>
      <w:r>
        <w:rPr>
          <w:rFonts w:hint="eastAsia" w:ascii="仿宋" w:hAnsi="仿宋" w:eastAsia="仿宋" w:cs="仿宋"/>
        </w:rPr>
        <w:t>保健食品（预包装）销售</w:t>
      </w:r>
      <w:r>
        <w:rPr>
          <w:rFonts w:hint="eastAsia" w:ascii="仿宋" w:hAnsi="仿宋" w:cs="仿宋"/>
          <w:lang w:eastAsia="zh-CN"/>
        </w:rPr>
        <w:t>；</w:t>
      </w:r>
      <w:r>
        <w:rPr>
          <w:rFonts w:hint="eastAsia" w:ascii="仿宋" w:hAnsi="仿宋" w:eastAsia="仿宋" w:cs="仿宋"/>
        </w:rPr>
        <w:t>旅游业务</w:t>
      </w:r>
      <w:r>
        <w:rPr>
          <w:rFonts w:hint="eastAsia" w:ascii="仿宋" w:hAnsi="仿宋" w:cs="仿宋"/>
          <w:lang w:eastAsia="zh-CN"/>
        </w:rPr>
        <w:t>；</w:t>
      </w:r>
      <w:r>
        <w:rPr>
          <w:rFonts w:hint="eastAsia" w:ascii="仿宋" w:hAnsi="仿宋" w:eastAsia="仿宋" w:cs="仿宋"/>
        </w:rPr>
        <w:t>城市配送运输服务（不含危险货物）</w:t>
      </w:r>
      <w:r>
        <w:rPr>
          <w:rFonts w:hint="eastAsia" w:ascii="仿宋" w:hAnsi="仿宋" w:cs="仿宋"/>
          <w:lang w:eastAsia="zh-CN"/>
        </w:rPr>
        <w:t>；</w:t>
      </w:r>
      <w:r>
        <w:rPr>
          <w:rFonts w:hint="eastAsia" w:ascii="仿宋" w:hAnsi="仿宋" w:eastAsia="仿宋" w:cs="仿宋"/>
        </w:rPr>
        <w:t>煤炭开采</w:t>
      </w:r>
      <w:r>
        <w:rPr>
          <w:rFonts w:hint="eastAsia" w:ascii="仿宋" w:hAnsi="仿宋" w:cs="仿宋"/>
          <w:lang w:eastAsia="zh-CN"/>
        </w:rPr>
        <w:t>；</w:t>
      </w:r>
      <w:r>
        <w:rPr>
          <w:rFonts w:hint="eastAsia" w:ascii="仿宋" w:hAnsi="仿宋" w:eastAsia="仿宋" w:cs="仿宋"/>
        </w:rPr>
        <w:t>药品批发</w:t>
      </w:r>
      <w:r>
        <w:rPr>
          <w:rFonts w:hint="eastAsia" w:ascii="仿宋" w:hAnsi="仿宋" w:cs="仿宋"/>
          <w:lang w:eastAsia="zh-CN"/>
        </w:rPr>
        <w:t>；</w:t>
      </w:r>
      <w:r>
        <w:rPr>
          <w:rFonts w:hint="eastAsia" w:ascii="仿宋" w:hAnsi="仿宋" w:eastAsia="仿宋" w:cs="仿宋"/>
        </w:rPr>
        <w:t>药品零售</w:t>
      </w:r>
      <w:r>
        <w:rPr>
          <w:rFonts w:hint="eastAsia" w:ascii="仿宋" w:hAnsi="仿宋" w:cs="仿宋"/>
          <w:lang w:eastAsia="zh-CN"/>
        </w:rPr>
        <w:t>；</w:t>
      </w:r>
      <w:r>
        <w:rPr>
          <w:rFonts w:hint="eastAsia" w:ascii="仿宋" w:hAnsi="仿宋" w:eastAsia="仿宋" w:cs="仿宋"/>
        </w:rPr>
        <w:t>药品生产</w:t>
      </w:r>
      <w:r>
        <w:rPr>
          <w:rFonts w:hint="eastAsia" w:ascii="仿宋" w:hAnsi="仿宋" w:cs="仿宋"/>
          <w:lang w:eastAsia="zh-CN"/>
        </w:rPr>
        <w:t>；</w:t>
      </w:r>
      <w:r>
        <w:rPr>
          <w:rFonts w:hint="eastAsia" w:ascii="仿宋" w:hAnsi="仿宋" w:eastAsia="仿宋" w:cs="仿宋"/>
        </w:rPr>
        <w:t>药品委托生产</w:t>
      </w:r>
      <w:r>
        <w:rPr>
          <w:rFonts w:hint="eastAsia" w:ascii="仿宋" w:hAnsi="仿宋" w:cs="仿宋"/>
          <w:lang w:eastAsia="zh-CN"/>
        </w:rPr>
        <w:t>；</w:t>
      </w:r>
      <w:r>
        <w:rPr>
          <w:rFonts w:hint="eastAsia" w:ascii="仿宋" w:hAnsi="仿宋" w:eastAsia="仿宋" w:cs="仿宋"/>
        </w:rPr>
        <w:t>食品销售（仅销售预包装食品）</w:t>
      </w:r>
      <w:r>
        <w:rPr>
          <w:rFonts w:hint="eastAsia" w:ascii="仿宋" w:hAnsi="仿宋" w:cs="仿宋"/>
          <w:lang w:eastAsia="zh-CN"/>
        </w:rPr>
        <w:t>；</w:t>
      </w:r>
      <w:r>
        <w:rPr>
          <w:rFonts w:hint="eastAsia" w:ascii="仿宋" w:hAnsi="仿宋" w:eastAsia="仿宋" w:cs="仿宋"/>
        </w:rPr>
        <w:t>保健食品生产</w:t>
      </w:r>
      <w:r>
        <w:rPr>
          <w:rFonts w:hint="eastAsia" w:ascii="仿宋" w:hAnsi="仿宋" w:cs="仿宋"/>
          <w:lang w:eastAsia="zh-CN"/>
        </w:rPr>
        <w:t>；</w:t>
      </w:r>
      <w:r>
        <w:rPr>
          <w:rFonts w:hint="eastAsia" w:ascii="仿宋" w:hAnsi="仿宋" w:eastAsia="仿宋" w:cs="仿宋"/>
        </w:rPr>
        <w:t>酒制品生产</w:t>
      </w:r>
      <w:r>
        <w:rPr>
          <w:rFonts w:hint="eastAsia" w:ascii="仿宋" w:hAnsi="仿宋" w:cs="仿宋"/>
          <w:lang w:eastAsia="zh-CN"/>
        </w:rPr>
        <w:t>；</w:t>
      </w:r>
      <w:r>
        <w:rPr>
          <w:rFonts w:hint="eastAsia" w:ascii="仿宋" w:hAnsi="仿宋" w:eastAsia="仿宋" w:cs="仿宋"/>
        </w:rPr>
        <w:t>饮料生产</w:t>
      </w:r>
      <w:r>
        <w:rPr>
          <w:rFonts w:hint="eastAsia" w:ascii="仿宋" w:hAnsi="仿宋" w:cs="仿宋"/>
          <w:lang w:eastAsia="zh-CN"/>
        </w:rPr>
        <w:t>；</w:t>
      </w:r>
      <w:r>
        <w:rPr>
          <w:rFonts w:hint="eastAsia" w:ascii="仿宋" w:hAnsi="仿宋" w:eastAsia="仿宋" w:cs="仿宋"/>
        </w:rPr>
        <w:t>建筑劳务分包</w:t>
      </w:r>
      <w:r>
        <w:rPr>
          <w:rFonts w:hint="eastAsia" w:ascii="仿宋" w:hAnsi="仿宋" w:cs="仿宋"/>
          <w:lang w:eastAsia="zh-CN"/>
        </w:rPr>
        <w:t>；</w:t>
      </w:r>
      <w:r>
        <w:rPr>
          <w:rFonts w:hint="eastAsia" w:ascii="仿宋" w:hAnsi="仿宋" w:eastAsia="仿宋" w:cs="仿宋"/>
        </w:rPr>
        <w:t>道路货物运输（不含危险货物）</w:t>
      </w:r>
      <w:r>
        <w:rPr>
          <w:rFonts w:hint="eastAsia" w:ascii="仿宋" w:hAnsi="仿宋" w:cs="仿宋"/>
          <w:lang w:eastAsia="zh-CN"/>
        </w:rPr>
        <w:t>；</w:t>
      </w:r>
      <w:r>
        <w:rPr>
          <w:rFonts w:hint="eastAsia" w:ascii="仿宋" w:hAnsi="仿宋" w:eastAsia="仿宋" w:cs="仿宋"/>
        </w:rPr>
        <w:t>发电业务、输电业务、供（配）电业务</w:t>
      </w:r>
      <w:r>
        <w:rPr>
          <w:rFonts w:hint="eastAsia" w:ascii="仿宋" w:hAnsi="仿宋" w:cs="仿宋"/>
          <w:lang w:eastAsia="zh-CN"/>
        </w:rPr>
        <w:t>；</w:t>
      </w:r>
      <w:r>
        <w:rPr>
          <w:rFonts w:hint="eastAsia" w:ascii="仿宋" w:hAnsi="仿宋" w:eastAsia="仿宋" w:cs="仿宋"/>
        </w:rPr>
        <w:t>建设工程设计</w:t>
      </w:r>
      <w:r>
        <w:rPr>
          <w:rFonts w:hint="eastAsia" w:ascii="仿宋" w:hAnsi="仿宋" w:cs="仿宋"/>
          <w:lang w:eastAsia="zh-CN"/>
        </w:rPr>
        <w:t>；</w:t>
      </w:r>
      <w:r>
        <w:rPr>
          <w:rFonts w:hint="eastAsia" w:ascii="仿宋" w:hAnsi="仿宋" w:eastAsia="仿宋" w:cs="仿宋"/>
        </w:rPr>
        <w:t>建设工程监理</w:t>
      </w:r>
      <w:r>
        <w:rPr>
          <w:rFonts w:hint="eastAsia" w:ascii="仿宋" w:hAnsi="仿宋" w:cs="仿宋"/>
          <w:lang w:eastAsia="zh-CN"/>
        </w:rPr>
        <w:t>；</w:t>
      </w:r>
      <w:r>
        <w:rPr>
          <w:rFonts w:hint="eastAsia" w:ascii="仿宋" w:hAnsi="仿宋" w:eastAsia="仿宋" w:cs="仿宋"/>
        </w:rPr>
        <w:t>工程造价咨询业务</w:t>
      </w:r>
      <w:r>
        <w:rPr>
          <w:rFonts w:hint="eastAsia" w:ascii="仿宋" w:hAnsi="仿宋" w:cs="仿宋"/>
          <w:lang w:eastAsia="zh-CN"/>
        </w:rPr>
        <w:t>；</w:t>
      </w:r>
      <w:r>
        <w:rPr>
          <w:rFonts w:hint="eastAsia" w:ascii="仿宋" w:hAnsi="仿宋" w:eastAsia="仿宋" w:cs="仿宋"/>
        </w:rPr>
        <w:t>建设工程施工</w:t>
      </w:r>
      <w:r>
        <w:rPr>
          <w:rFonts w:hint="eastAsia" w:ascii="仿宋" w:hAnsi="仿宋" w:cs="仿宋"/>
          <w:lang w:eastAsia="zh-CN"/>
        </w:rPr>
        <w:t>；</w:t>
      </w:r>
      <w:r>
        <w:rPr>
          <w:rFonts w:hint="eastAsia" w:ascii="仿宋" w:hAnsi="仿宋" w:eastAsia="仿宋" w:cs="仿宋"/>
        </w:rPr>
        <w:t>食品生产</w:t>
      </w:r>
      <w:r>
        <w:rPr>
          <w:rFonts w:hint="eastAsia" w:ascii="仿宋" w:hAnsi="仿宋" w:cs="仿宋"/>
          <w:lang w:eastAsia="zh-CN"/>
        </w:rPr>
        <w:t>；</w:t>
      </w:r>
      <w:r>
        <w:rPr>
          <w:rFonts w:hint="eastAsia" w:ascii="仿宋" w:hAnsi="仿宋" w:eastAsia="仿宋" w:cs="仿宋"/>
        </w:rPr>
        <w:t>以自有资金从事投资活动</w:t>
      </w:r>
      <w:r>
        <w:rPr>
          <w:rFonts w:hint="eastAsia" w:ascii="仿宋" w:hAnsi="仿宋" w:cs="仿宋"/>
          <w:lang w:eastAsia="zh-CN"/>
        </w:rPr>
        <w:t>；</w:t>
      </w:r>
      <w:r>
        <w:rPr>
          <w:rFonts w:hint="eastAsia" w:ascii="仿宋" w:hAnsi="仿宋" w:eastAsia="仿宋" w:cs="仿宋"/>
        </w:rPr>
        <w:t>信息咨询服务（不含许可类信息咨询服务）</w:t>
      </w:r>
      <w:r>
        <w:rPr>
          <w:rFonts w:hint="eastAsia" w:ascii="仿宋" w:hAnsi="仿宋" w:cs="仿宋"/>
          <w:lang w:eastAsia="zh-CN"/>
        </w:rPr>
        <w:t>；</w:t>
      </w:r>
      <w:r>
        <w:rPr>
          <w:rFonts w:hint="eastAsia" w:ascii="仿宋" w:hAnsi="仿宋" w:eastAsia="仿宋" w:cs="仿宋"/>
        </w:rPr>
        <w:t>生态恢复及生态保护服务</w:t>
      </w:r>
      <w:r>
        <w:rPr>
          <w:rFonts w:hint="eastAsia" w:ascii="仿宋" w:hAnsi="仿宋" w:cs="仿宋"/>
          <w:lang w:eastAsia="zh-CN"/>
        </w:rPr>
        <w:t>；</w:t>
      </w:r>
      <w:r>
        <w:rPr>
          <w:rFonts w:hint="eastAsia" w:ascii="仿宋" w:hAnsi="仿宋" w:eastAsia="仿宋" w:cs="仿宋"/>
        </w:rPr>
        <w:t>生态环境材料销售</w:t>
      </w:r>
      <w:r>
        <w:rPr>
          <w:rFonts w:hint="eastAsia" w:ascii="仿宋" w:hAnsi="仿宋" w:cs="仿宋"/>
          <w:lang w:eastAsia="zh-CN"/>
        </w:rPr>
        <w:t>；</w:t>
      </w:r>
      <w:r>
        <w:rPr>
          <w:rFonts w:hint="eastAsia" w:ascii="仿宋" w:hAnsi="仿宋" w:eastAsia="仿宋" w:cs="仿宋"/>
        </w:rPr>
        <w:t>生态环境材料制造</w:t>
      </w:r>
      <w:r>
        <w:rPr>
          <w:rFonts w:hint="eastAsia" w:ascii="仿宋" w:hAnsi="仿宋" w:cs="仿宋"/>
          <w:lang w:eastAsia="zh-CN"/>
        </w:rPr>
        <w:t>；</w:t>
      </w:r>
      <w:r>
        <w:rPr>
          <w:rFonts w:hint="eastAsia" w:ascii="仿宋" w:hAnsi="仿宋" w:eastAsia="仿宋" w:cs="仿宋"/>
        </w:rPr>
        <w:t>自然生态系统保护管理</w:t>
      </w:r>
      <w:r>
        <w:rPr>
          <w:rFonts w:hint="eastAsia" w:ascii="仿宋" w:hAnsi="仿宋" w:cs="仿宋"/>
          <w:lang w:eastAsia="zh-CN"/>
        </w:rPr>
        <w:t>；</w:t>
      </w:r>
      <w:r>
        <w:rPr>
          <w:rFonts w:hint="eastAsia" w:ascii="仿宋" w:hAnsi="仿宋" w:eastAsia="仿宋" w:cs="仿宋"/>
        </w:rPr>
        <w:t>旅游开发项目策划咨询</w:t>
      </w:r>
      <w:r>
        <w:rPr>
          <w:rFonts w:hint="eastAsia" w:ascii="仿宋" w:hAnsi="仿宋" w:cs="仿宋"/>
          <w:lang w:eastAsia="zh-CN"/>
        </w:rPr>
        <w:t>；</w:t>
      </w:r>
      <w:r>
        <w:rPr>
          <w:rFonts w:hint="eastAsia" w:ascii="仿宋" w:hAnsi="仿宋" w:eastAsia="仿宋" w:cs="仿宋"/>
        </w:rPr>
        <w:t>道路货物运输站经营</w:t>
      </w:r>
      <w:r>
        <w:rPr>
          <w:rFonts w:hint="eastAsia" w:ascii="仿宋" w:hAnsi="仿宋" w:cs="仿宋"/>
          <w:lang w:eastAsia="zh-CN"/>
        </w:rPr>
        <w:t>；</w:t>
      </w:r>
      <w:r>
        <w:rPr>
          <w:rFonts w:hint="eastAsia" w:ascii="仿宋" w:hAnsi="仿宋" w:eastAsia="仿宋" w:cs="仿宋"/>
        </w:rPr>
        <w:t>中草药收购</w:t>
      </w:r>
      <w:r>
        <w:rPr>
          <w:rFonts w:hint="eastAsia" w:ascii="仿宋" w:hAnsi="仿宋" w:cs="仿宋"/>
          <w:lang w:eastAsia="zh-CN"/>
        </w:rPr>
        <w:t>；</w:t>
      </w:r>
      <w:r>
        <w:rPr>
          <w:rFonts w:hint="eastAsia" w:ascii="仿宋" w:hAnsi="仿宋" w:eastAsia="仿宋" w:cs="仿宋"/>
        </w:rPr>
        <w:t>地产中草药（不含中药饮片）购销</w:t>
      </w:r>
      <w:r>
        <w:rPr>
          <w:rFonts w:hint="eastAsia" w:ascii="仿宋" w:hAnsi="仿宋" w:cs="仿宋"/>
          <w:lang w:eastAsia="zh-CN"/>
        </w:rPr>
        <w:t>；</w:t>
      </w:r>
      <w:r>
        <w:rPr>
          <w:rFonts w:hint="eastAsia" w:ascii="仿宋" w:hAnsi="仿宋" w:eastAsia="仿宋" w:cs="仿宋"/>
        </w:rPr>
        <w:t>中草药种植</w:t>
      </w:r>
      <w:r>
        <w:rPr>
          <w:rFonts w:hint="eastAsia" w:ascii="仿宋" w:hAnsi="仿宋" w:cs="仿宋"/>
          <w:lang w:eastAsia="zh-CN"/>
        </w:rPr>
        <w:t>；</w:t>
      </w:r>
      <w:r>
        <w:rPr>
          <w:rFonts w:hint="eastAsia" w:ascii="仿宋" w:hAnsi="仿宋" w:eastAsia="仿宋" w:cs="仿宋"/>
        </w:rPr>
        <w:t>医学研究和试验发展</w:t>
      </w:r>
      <w:r>
        <w:rPr>
          <w:rFonts w:hint="eastAsia" w:ascii="仿宋" w:hAnsi="仿宋" w:cs="仿宋"/>
          <w:lang w:eastAsia="zh-CN"/>
        </w:rPr>
        <w:t>；</w:t>
      </w:r>
      <w:r>
        <w:rPr>
          <w:rFonts w:hint="eastAsia" w:ascii="仿宋" w:hAnsi="仿宋" w:eastAsia="仿宋" w:cs="仿宋"/>
        </w:rPr>
        <w:t>化工产品销售（不含许可类化工产品）</w:t>
      </w:r>
      <w:r>
        <w:rPr>
          <w:rFonts w:hint="eastAsia" w:ascii="仿宋" w:hAnsi="仿宋" w:cs="仿宋"/>
          <w:lang w:eastAsia="zh-CN"/>
        </w:rPr>
        <w:t>；</w:t>
      </w:r>
      <w:r>
        <w:rPr>
          <w:rFonts w:hint="eastAsia" w:ascii="仿宋" w:hAnsi="仿宋" w:eastAsia="仿宋" w:cs="仿宋"/>
        </w:rPr>
        <w:t>非金属矿物制品制造</w:t>
      </w:r>
      <w:r>
        <w:rPr>
          <w:rFonts w:hint="eastAsia" w:ascii="仿宋" w:hAnsi="仿宋" w:cs="仿宋"/>
          <w:lang w:eastAsia="zh-CN"/>
        </w:rPr>
        <w:t>；</w:t>
      </w:r>
      <w:r>
        <w:rPr>
          <w:rFonts w:hint="eastAsia" w:ascii="仿宋" w:hAnsi="仿宋" w:eastAsia="仿宋" w:cs="仿宋"/>
        </w:rPr>
        <w:t>非金属矿及制品销售</w:t>
      </w:r>
      <w:r>
        <w:rPr>
          <w:rFonts w:hint="eastAsia" w:ascii="仿宋" w:hAnsi="仿宋" w:cs="仿宋"/>
          <w:lang w:eastAsia="zh-CN"/>
        </w:rPr>
        <w:t>；</w:t>
      </w:r>
      <w:r>
        <w:rPr>
          <w:rFonts w:hint="eastAsia" w:ascii="仿宋" w:hAnsi="仿宋" w:eastAsia="仿宋" w:cs="仿宋"/>
        </w:rPr>
        <w:t>建筑装饰材料销售</w:t>
      </w:r>
      <w:r>
        <w:rPr>
          <w:rFonts w:hint="eastAsia" w:ascii="仿宋" w:hAnsi="仿宋" w:cs="仿宋"/>
          <w:lang w:eastAsia="zh-CN"/>
        </w:rPr>
        <w:t>；</w:t>
      </w:r>
      <w:r>
        <w:rPr>
          <w:rFonts w:hint="eastAsia" w:ascii="仿宋" w:hAnsi="仿宋" w:eastAsia="仿宋" w:cs="仿宋"/>
        </w:rPr>
        <w:t>铸造用造型材料销售</w:t>
      </w:r>
      <w:r>
        <w:rPr>
          <w:rFonts w:hint="eastAsia" w:ascii="仿宋" w:hAnsi="仿宋" w:cs="仿宋"/>
          <w:lang w:eastAsia="zh-CN"/>
        </w:rPr>
        <w:t>；</w:t>
      </w:r>
      <w:r>
        <w:rPr>
          <w:rFonts w:hint="eastAsia" w:ascii="仿宋" w:hAnsi="仿宋" w:eastAsia="仿宋" w:cs="仿宋"/>
        </w:rPr>
        <w:t>金属材料制造</w:t>
      </w:r>
      <w:r>
        <w:rPr>
          <w:rFonts w:hint="eastAsia" w:ascii="仿宋" w:hAnsi="仿宋" w:cs="仿宋"/>
          <w:lang w:eastAsia="zh-CN"/>
        </w:rPr>
        <w:t>；</w:t>
      </w:r>
      <w:r>
        <w:rPr>
          <w:rFonts w:hint="eastAsia" w:ascii="仿宋" w:hAnsi="仿宋" w:eastAsia="仿宋" w:cs="仿宋"/>
        </w:rPr>
        <w:t>金属材料销售</w:t>
      </w:r>
      <w:r>
        <w:rPr>
          <w:rFonts w:hint="eastAsia" w:ascii="仿宋" w:hAnsi="仿宋" w:cs="仿宋"/>
          <w:lang w:eastAsia="zh-CN"/>
        </w:rPr>
        <w:t>；</w:t>
      </w:r>
      <w:r>
        <w:rPr>
          <w:rFonts w:hint="eastAsia" w:ascii="仿宋" w:hAnsi="仿宋" w:eastAsia="仿宋" w:cs="仿宋"/>
        </w:rPr>
        <w:t>化肥销售</w:t>
      </w:r>
      <w:r>
        <w:rPr>
          <w:rFonts w:hint="eastAsia" w:ascii="仿宋" w:hAnsi="仿宋" w:cs="仿宋"/>
          <w:lang w:eastAsia="zh-CN"/>
        </w:rPr>
        <w:t>；</w:t>
      </w:r>
      <w:r>
        <w:rPr>
          <w:rFonts w:hint="eastAsia" w:ascii="仿宋" w:hAnsi="仿宋" w:eastAsia="仿宋" w:cs="仿宋"/>
        </w:rPr>
        <w:t>肥料销售</w:t>
      </w:r>
      <w:r>
        <w:rPr>
          <w:rFonts w:hint="eastAsia" w:ascii="仿宋" w:hAnsi="仿宋" w:cs="仿宋"/>
          <w:lang w:eastAsia="zh-CN"/>
        </w:rPr>
        <w:t>；</w:t>
      </w:r>
      <w:r>
        <w:rPr>
          <w:rFonts w:hint="eastAsia" w:ascii="仿宋" w:hAnsi="仿宋" w:eastAsia="仿宋" w:cs="仿宋"/>
        </w:rPr>
        <w:t>电器辅件制造</w:t>
      </w:r>
      <w:r>
        <w:rPr>
          <w:rFonts w:hint="eastAsia" w:ascii="仿宋" w:hAnsi="仿宋" w:cs="仿宋"/>
          <w:lang w:eastAsia="zh-CN"/>
        </w:rPr>
        <w:t>；</w:t>
      </w:r>
      <w:r>
        <w:rPr>
          <w:rFonts w:hint="eastAsia" w:ascii="仿宋" w:hAnsi="仿宋" w:eastAsia="仿宋" w:cs="仿宋"/>
        </w:rPr>
        <w:t>电器辅件销售</w:t>
      </w:r>
      <w:r>
        <w:rPr>
          <w:rFonts w:hint="eastAsia" w:ascii="仿宋" w:hAnsi="仿宋" w:cs="仿宋"/>
          <w:lang w:eastAsia="zh-CN"/>
        </w:rPr>
        <w:t>；</w:t>
      </w:r>
      <w:r>
        <w:rPr>
          <w:rFonts w:hint="eastAsia" w:ascii="仿宋" w:hAnsi="仿宋" w:eastAsia="仿宋" w:cs="仿宋"/>
        </w:rPr>
        <w:t>机械设备租赁</w:t>
      </w:r>
      <w:r>
        <w:rPr>
          <w:rFonts w:hint="eastAsia" w:ascii="仿宋" w:hAnsi="仿宋" w:cs="仿宋"/>
          <w:lang w:eastAsia="zh-CN"/>
        </w:rPr>
        <w:t>；</w:t>
      </w:r>
      <w:r>
        <w:rPr>
          <w:rFonts w:hint="eastAsia" w:ascii="仿宋" w:hAnsi="仿宋" w:eastAsia="仿宋" w:cs="仿宋"/>
        </w:rPr>
        <w:t>技术服务、技术开发、技术咨询、技术交流、技术转让、技术推广</w:t>
      </w:r>
      <w:r>
        <w:rPr>
          <w:rFonts w:hint="eastAsia" w:ascii="仿宋" w:hAnsi="仿宋" w:cs="仿宋"/>
          <w:lang w:eastAsia="zh-CN"/>
        </w:rPr>
        <w:t>；</w:t>
      </w:r>
      <w:r>
        <w:rPr>
          <w:rFonts w:hint="eastAsia" w:ascii="仿宋" w:hAnsi="仿宋" w:eastAsia="仿宋" w:cs="仿宋"/>
        </w:rPr>
        <w:t>工程管理服务</w:t>
      </w:r>
      <w:r>
        <w:rPr>
          <w:rFonts w:hint="eastAsia" w:ascii="仿宋" w:hAnsi="仿宋" w:cs="仿宋"/>
          <w:lang w:eastAsia="zh-CN"/>
        </w:rPr>
        <w:t>；</w:t>
      </w:r>
      <w:r>
        <w:rPr>
          <w:rFonts w:hint="eastAsia" w:ascii="仿宋" w:hAnsi="仿宋" w:eastAsia="仿宋" w:cs="仿宋"/>
        </w:rPr>
        <w:t>招投标代理服务</w:t>
      </w:r>
      <w:r>
        <w:rPr>
          <w:rFonts w:hint="eastAsia" w:ascii="仿宋" w:hAnsi="仿宋" w:cs="仿宋"/>
          <w:lang w:eastAsia="zh-CN"/>
        </w:rPr>
        <w:t>；</w:t>
      </w:r>
      <w:r>
        <w:rPr>
          <w:rFonts w:hint="eastAsia" w:ascii="仿宋" w:hAnsi="仿宋" w:eastAsia="仿宋" w:cs="仿宋"/>
        </w:rPr>
        <w:t>工程和技术研究和试验发展</w:t>
      </w:r>
      <w:r>
        <w:rPr>
          <w:rFonts w:hint="eastAsia" w:ascii="仿宋" w:hAnsi="仿宋" w:cs="仿宋"/>
          <w:lang w:eastAsia="zh-CN"/>
        </w:rPr>
        <w:t>；</w:t>
      </w:r>
      <w:r>
        <w:rPr>
          <w:rFonts w:hint="eastAsia" w:ascii="仿宋" w:hAnsi="仿宋" w:eastAsia="仿宋" w:cs="仿宋"/>
        </w:rPr>
        <w:t>光伏发电设备租赁</w:t>
      </w:r>
      <w:r>
        <w:rPr>
          <w:rFonts w:hint="eastAsia" w:ascii="仿宋" w:hAnsi="仿宋" w:cs="仿宋"/>
          <w:lang w:eastAsia="zh-CN"/>
        </w:rPr>
        <w:t>；</w:t>
      </w:r>
      <w:r>
        <w:rPr>
          <w:rFonts w:hint="eastAsia" w:ascii="仿宋" w:hAnsi="仿宋" w:eastAsia="仿宋" w:cs="仿宋"/>
        </w:rPr>
        <w:t>计算机及通讯设备租赁</w:t>
      </w:r>
      <w:r>
        <w:rPr>
          <w:rFonts w:hint="eastAsia" w:ascii="仿宋" w:hAnsi="仿宋" w:cs="仿宋"/>
          <w:lang w:eastAsia="zh-CN"/>
        </w:rPr>
        <w:t>；</w:t>
      </w:r>
      <w:r>
        <w:rPr>
          <w:rFonts w:hint="eastAsia" w:ascii="仿宋" w:hAnsi="仿宋" w:eastAsia="仿宋" w:cs="仿宋"/>
        </w:rPr>
        <w:t>租赁服务（不含许可类租赁服务）</w:t>
      </w:r>
      <w:r>
        <w:rPr>
          <w:rFonts w:hint="eastAsia" w:ascii="仿宋" w:hAnsi="仿宋" w:cs="仿宋"/>
          <w:lang w:eastAsia="zh-CN"/>
        </w:rPr>
        <w:t>；</w:t>
      </w:r>
      <w:r>
        <w:rPr>
          <w:rFonts w:hint="eastAsia" w:ascii="仿宋" w:hAnsi="仿宋" w:eastAsia="仿宋" w:cs="仿宋"/>
        </w:rPr>
        <w:t>建筑工程机械与设备租赁</w:t>
      </w:r>
      <w:r>
        <w:rPr>
          <w:rFonts w:hint="eastAsia" w:ascii="仿宋" w:hAnsi="仿宋" w:cs="仿宋"/>
          <w:lang w:eastAsia="zh-CN"/>
        </w:rPr>
        <w:t>；</w:t>
      </w:r>
      <w:r>
        <w:rPr>
          <w:rFonts w:hint="eastAsia" w:ascii="仿宋" w:hAnsi="仿宋" w:eastAsia="仿宋" w:cs="仿宋"/>
        </w:rPr>
        <w:t>销售代理</w:t>
      </w:r>
      <w:r>
        <w:rPr>
          <w:rFonts w:hint="eastAsia" w:ascii="仿宋" w:hAnsi="仿宋" w:cs="仿宋"/>
          <w:lang w:eastAsia="zh-CN"/>
        </w:rPr>
        <w:t>；</w:t>
      </w:r>
      <w:r>
        <w:rPr>
          <w:rFonts w:hint="eastAsia" w:ascii="仿宋" w:hAnsi="仿宋" w:eastAsia="仿宋" w:cs="仿宋"/>
        </w:rPr>
        <w:t>软件销售</w:t>
      </w:r>
      <w:r>
        <w:rPr>
          <w:rFonts w:hint="eastAsia" w:ascii="仿宋" w:hAnsi="仿宋" w:cs="仿宋"/>
          <w:lang w:eastAsia="zh-CN"/>
        </w:rPr>
        <w:t>；</w:t>
      </w:r>
      <w:r>
        <w:rPr>
          <w:rFonts w:hint="eastAsia" w:ascii="仿宋" w:hAnsi="仿宋" w:eastAsia="仿宋" w:cs="仿宋"/>
        </w:rPr>
        <w:t>建筑材料销售</w:t>
      </w:r>
      <w:r>
        <w:rPr>
          <w:rFonts w:hint="eastAsia" w:ascii="仿宋" w:hAnsi="仿宋" w:cs="仿宋"/>
          <w:lang w:eastAsia="zh-CN"/>
        </w:rPr>
        <w:t>；</w:t>
      </w:r>
      <w:r>
        <w:rPr>
          <w:rFonts w:hint="eastAsia" w:ascii="仿宋" w:hAnsi="仿宋" w:eastAsia="仿宋" w:cs="仿宋"/>
        </w:rPr>
        <w:t>电力电子元器件销售</w:t>
      </w:r>
      <w:r>
        <w:rPr>
          <w:rFonts w:hint="eastAsia" w:ascii="仿宋" w:hAnsi="仿宋" w:cs="仿宋"/>
          <w:lang w:eastAsia="zh-CN"/>
        </w:rPr>
        <w:t>；</w:t>
      </w:r>
      <w:r>
        <w:rPr>
          <w:rFonts w:hint="eastAsia" w:ascii="仿宋" w:hAnsi="仿宋" w:eastAsia="仿宋" w:cs="仿宋"/>
        </w:rPr>
        <w:t>电子元器件与机电组件设备销售</w:t>
      </w:r>
      <w:r>
        <w:rPr>
          <w:rFonts w:hint="eastAsia" w:ascii="仿宋" w:hAnsi="仿宋" w:cs="仿宋"/>
          <w:lang w:eastAsia="zh-CN"/>
        </w:rPr>
        <w:t>；</w:t>
      </w:r>
      <w:r>
        <w:rPr>
          <w:rFonts w:hint="eastAsia" w:ascii="仿宋" w:hAnsi="仿宋" w:eastAsia="仿宋" w:cs="仿宋"/>
        </w:rPr>
        <w:t>金属结构销售</w:t>
      </w:r>
      <w:r>
        <w:rPr>
          <w:rFonts w:hint="eastAsia" w:ascii="仿宋" w:hAnsi="仿宋" w:cs="仿宋"/>
          <w:lang w:eastAsia="zh-CN"/>
        </w:rPr>
        <w:t>；</w:t>
      </w:r>
      <w:r>
        <w:rPr>
          <w:rFonts w:hint="eastAsia" w:ascii="仿宋" w:hAnsi="仿宋" w:eastAsia="仿宋" w:cs="仿宋"/>
        </w:rPr>
        <w:t>金属制品销售</w:t>
      </w:r>
      <w:r>
        <w:rPr>
          <w:rFonts w:hint="eastAsia" w:ascii="仿宋" w:hAnsi="仿宋" w:cs="仿宋"/>
          <w:lang w:eastAsia="zh-CN"/>
        </w:rPr>
        <w:t>；</w:t>
      </w:r>
      <w:r>
        <w:rPr>
          <w:rFonts w:hint="eastAsia" w:ascii="仿宋" w:hAnsi="仿宋" w:eastAsia="仿宋" w:cs="仿宋"/>
        </w:rPr>
        <w:t>金属制品研发</w:t>
      </w:r>
      <w:r>
        <w:rPr>
          <w:rFonts w:hint="eastAsia" w:ascii="仿宋" w:hAnsi="仿宋" w:cs="仿宋"/>
          <w:lang w:eastAsia="zh-CN"/>
        </w:rPr>
        <w:t>；</w:t>
      </w:r>
      <w:r>
        <w:rPr>
          <w:rFonts w:hint="eastAsia" w:ascii="仿宋" w:hAnsi="仿宋" w:eastAsia="仿宋" w:cs="仿宋"/>
        </w:rPr>
        <w:t>金属链条及其他金属制品销售</w:t>
      </w:r>
      <w:r>
        <w:rPr>
          <w:rFonts w:hint="eastAsia" w:ascii="仿宋" w:hAnsi="仿宋" w:cs="仿宋"/>
          <w:lang w:eastAsia="zh-CN"/>
        </w:rPr>
        <w:t>；</w:t>
      </w:r>
      <w:r>
        <w:rPr>
          <w:rFonts w:hint="eastAsia" w:ascii="仿宋" w:hAnsi="仿宋" w:eastAsia="仿宋" w:cs="仿宋"/>
        </w:rPr>
        <w:t>园林绿化工程施工</w:t>
      </w:r>
      <w:r>
        <w:rPr>
          <w:rFonts w:hint="eastAsia" w:ascii="仿宋" w:hAnsi="仿宋" w:cs="仿宋"/>
          <w:lang w:eastAsia="zh-CN"/>
        </w:rPr>
        <w:t>；</w:t>
      </w:r>
      <w:r>
        <w:rPr>
          <w:rFonts w:hint="eastAsia" w:ascii="仿宋" w:hAnsi="仿宋" w:eastAsia="仿宋" w:cs="仿宋"/>
        </w:rPr>
        <w:t>规划设计管理</w:t>
      </w:r>
      <w:r>
        <w:rPr>
          <w:rFonts w:hint="eastAsia" w:ascii="仿宋" w:hAnsi="仿宋" w:cs="仿宋"/>
          <w:lang w:eastAsia="zh-CN"/>
        </w:rPr>
        <w:t>；</w:t>
      </w:r>
      <w:r>
        <w:rPr>
          <w:rFonts w:hint="eastAsia" w:ascii="仿宋" w:hAnsi="仿宋" w:eastAsia="仿宋" w:cs="仿宋"/>
        </w:rPr>
        <w:t>城市绿化管理</w:t>
      </w:r>
      <w:r>
        <w:rPr>
          <w:rFonts w:hint="eastAsia" w:ascii="仿宋" w:hAnsi="仿宋" w:cs="仿宋"/>
          <w:lang w:eastAsia="zh-CN"/>
        </w:rPr>
        <w:t>；</w:t>
      </w:r>
      <w:r>
        <w:rPr>
          <w:rFonts w:hint="eastAsia" w:ascii="仿宋" w:hAnsi="仿宋" w:eastAsia="仿宋" w:cs="仿宋"/>
        </w:rPr>
        <w:t>供应链管理服务</w:t>
      </w:r>
      <w:r>
        <w:rPr>
          <w:rFonts w:hint="eastAsia" w:ascii="仿宋" w:hAnsi="仿宋" w:cs="仿宋"/>
          <w:lang w:eastAsia="zh-CN"/>
        </w:rPr>
        <w:t>；</w:t>
      </w:r>
      <w:r>
        <w:rPr>
          <w:rFonts w:hint="eastAsia" w:ascii="仿宋" w:hAnsi="仿宋" w:eastAsia="仿宋" w:cs="仿宋"/>
        </w:rPr>
        <w:t>软件开发</w:t>
      </w:r>
      <w:r>
        <w:rPr>
          <w:rFonts w:hint="eastAsia" w:ascii="仿宋" w:hAnsi="仿宋" w:cs="仿宋"/>
          <w:lang w:eastAsia="zh-CN"/>
        </w:rPr>
        <w:t>；</w:t>
      </w:r>
      <w:r>
        <w:rPr>
          <w:rFonts w:hint="eastAsia" w:ascii="仿宋" w:hAnsi="仿宋" w:eastAsia="仿宋" w:cs="仿宋"/>
        </w:rPr>
        <w:t>机械设备销售</w:t>
      </w:r>
    </w:p>
    <w:p>
      <w:pPr>
        <w:keepNext w:val="0"/>
        <w:keepLines w:val="0"/>
        <w:pageBreakBefore w:val="0"/>
        <w:widowControl/>
        <w:kinsoku/>
        <w:wordWrap/>
        <w:overflowPunct/>
        <w:topLinePunct w:val="0"/>
        <w:autoSpaceDE/>
        <w:autoSpaceDN/>
        <w:bidi w:val="0"/>
        <w:adjustRightInd w:val="0"/>
        <w:snapToGrid/>
        <w:spacing w:line="440" w:lineRule="exact"/>
        <w:textAlignment w:val="auto"/>
        <w:rPr>
          <w:rFonts w:hint="eastAsia" w:ascii="仿宋" w:hAnsi="仿宋" w:eastAsia="仿宋" w:cs="仿宋"/>
          <w:lang w:val="en-US" w:eastAsia="zh-CN"/>
        </w:rPr>
      </w:pPr>
      <w:r>
        <w:rPr>
          <w:rFonts w:hint="eastAsia" w:ascii="仿宋" w:hAnsi="仿宋" w:eastAsia="仿宋" w:cs="仿宋"/>
          <w:lang w:val="en-US" w:eastAsia="zh-CN"/>
        </w:rPr>
        <w:t>（2）实际控制人</w:t>
      </w:r>
    </w:p>
    <w:p>
      <w:pPr>
        <w:bidi w:val="0"/>
        <w:rPr>
          <w:rFonts w:hint="eastAsia" w:ascii="仿宋" w:hAnsi="仿宋" w:eastAsia="仿宋" w:cs="仿宋"/>
          <w:lang w:val="en-US" w:eastAsia="zh-CN"/>
        </w:rPr>
      </w:pPr>
      <w:r>
        <w:rPr>
          <w:rFonts w:hint="eastAsia" w:ascii="仿宋" w:hAnsi="仿宋" w:cs="仿宋"/>
          <w:lang w:val="en-US" w:eastAsia="zh-CN"/>
        </w:rPr>
        <w:t>亿利洁能</w:t>
      </w:r>
      <w:r>
        <w:rPr>
          <w:rFonts w:hint="eastAsia" w:ascii="仿宋" w:hAnsi="仿宋" w:eastAsia="仿宋" w:cs="仿宋"/>
          <w:lang w:val="en-US" w:eastAsia="zh-CN"/>
        </w:rPr>
        <w:t>公司最终实际控制人为</w:t>
      </w:r>
      <w:r>
        <w:rPr>
          <w:rFonts w:hint="eastAsia" w:ascii="仿宋" w:hAnsi="仿宋" w:eastAsia="仿宋" w:cs="仿宋"/>
        </w:rPr>
        <w:t>王伟韬</w:t>
      </w:r>
      <w:r>
        <w:rPr>
          <w:rFonts w:hint="eastAsia" w:ascii="仿宋" w:hAnsi="仿宋" w:eastAsia="仿宋" w:cs="仿宋"/>
          <w:lang w:val="en-US" w:eastAsia="zh-CN"/>
        </w:rPr>
        <w:t>。截至2023年12月31日，公司实际控制人</w:t>
      </w:r>
      <w:r>
        <w:rPr>
          <w:rFonts w:hint="eastAsia" w:ascii="仿宋" w:hAnsi="仿宋" w:eastAsia="仿宋" w:cs="仿宋"/>
        </w:rPr>
        <w:t>王伟韬</w:t>
      </w:r>
      <w:r>
        <w:rPr>
          <w:rFonts w:hint="eastAsia" w:ascii="仿宋" w:hAnsi="仿宋" w:eastAsia="仿宋" w:cs="仿宋"/>
          <w:lang w:val="en-US" w:eastAsia="zh-CN"/>
        </w:rPr>
        <w:t>持有公司</w:t>
      </w:r>
      <w:r>
        <w:rPr>
          <w:rFonts w:hint="eastAsia" w:ascii="仿宋" w:hAnsi="仿宋" w:eastAsia="仿宋" w:cs="仿宋"/>
        </w:rPr>
        <w:t>亿利资源集团有限公司</w:t>
      </w:r>
      <w:r>
        <w:rPr>
          <w:rFonts w:hint="eastAsia" w:ascii="仿宋" w:hAnsi="仿宋" w:cs="仿宋"/>
          <w:lang w:val="en-US" w:eastAsia="zh-CN"/>
        </w:rPr>
        <w:t>20.85</w:t>
      </w:r>
      <w:r>
        <w:rPr>
          <w:rFonts w:hint="eastAsia" w:ascii="仿宋" w:hAnsi="仿宋" w:eastAsia="仿宋" w:cs="仿宋"/>
          <w:lang w:val="en-US" w:eastAsia="zh-CN"/>
        </w:rPr>
        <w:t>%股权，持有公司</w:t>
      </w:r>
      <w:r>
        <w:rPr>
          <w:rFonts w:hint="eastAsia" w:ascii="仿宋" w:hAnsi="仿宋" w:eastAsia="仿宋" w:cs="仿宋"/>
        </w:rPr>
        <w:t>亿利资源</w:t>
      </w:r>
      <w:r>
        <w:rPr>
          <w:rFonts w:hint="eastAsia" w:ascii="仿宋" w:hAnsi="仿宋" w:cs="仿宋"/>
          <w:lang w:val="en-US" w:eastAsia="zh-CN"/>
        </w:rPr>
        <w:t>控股</w:t>
      </w:r>
      <w:r>
        <w:rPr>
          <w:rFonts w:hint="eastAsia" w:ascii="仿宋" w:hAnsi="仿宋" w:eastAsia="仿宋" w:cs="仿宋"/>
        </w:rPr>
        <w:t>有限公司</w:t>
      </w:r>
      <w:r>
        <w:rPr>
          <w:rFonts w:hint="eastAsia" w:ascii="仿宋" w:hAnsi="仿宋" w:cs="仿宋"/>
          <w:lang w:val="en-US" w:eastAsia="zh-CN"/>
        </w:rPr>
        <w:t>52.95</w:t>
      </w:r>
      <w:r>
        <w:rPr>
          <w:rFonts w:hint="eastAsia" w:ascii="仿宋" w:hAnsi="仿宋" w:eastAsia="仿宋" w:cs="仿宋"/>
          <w:lang w:val="en-US" w:eastAsia="zh-CN"/>
        </w:rPr>
        <w:t>%股权，对</w:t>
      </w:r>
      <w:r>
        <w:rPr>
          <w:rFonts w:hint="eastAsia" w:ascii="仿宋" w:hAnsi="仿宋" w:cs="仿宋"/>
          <w:lang w:val="en-US" w:eastAsia="zh-CN"/>
        </w:rPr>
        <w:t>亿利洁能</w:t>
      </w:r>
      <w:r>
        <w:rPr>
          <w:rFonts w:hint="eastAsia" w:ascii="仿宋" w:hAnsi="仿宋" w:eastAsia="仿宋" w:cs="仿宋"/>
          <w:lang w:val="en-US" w:eastAsia="zh-CN"/>
        </w:rPr>
        <w:t>实际控股</w:t>
      </w:r>
      <w:r>
        <w:rPr>
          <w:rFonts w:hint="eastAsia" w:ascii="仿宋" w:hAnsi="仿宋" w:cs="仿宋"/>
          <w:lang w:val="en-US" w:eastAsia="zh-CN"/>
        </w:rPr>
        <w:t>12.30</w:t>
      </w:r>
      <w:r>
        <w:rPr>
          <w:rFonts w:hint="eastAsia" w:ascii="仿宋" w:hAnsi="仿宋" w:eastAsia="仿宋" w:cs="仿宋"/>
          <w:lang w:val="en-US" w:eastAsia="zh-CN"/>
        </w:rPr>
        <w:t>%。公司股权结构示意图见下图所示。</w:t>
      </w:r>
    </w:p>
    <w:p>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default" w:ascii="黑体" w:hAnsi="黑体" w:eastAsia="黑体"/>
          <w:sz w:val="24"/>
          <w:szCs w:val="24"/>
          <w:lang w:val="en-US" w:eastAsia="zh-CN"/>
        </w:rPr>
      </w:pPr>
      <w:r>
        <w:rPr>
          <w:rFonts w:hint="eastAsia" w:ascii="黑体" w:hAnsi="黑体" w:eastAsia="黑体"/>
          <w:sz w:val="24"/>
          <w:szCs w:val="24"/>
        </w:rPr>
        <w:t>图1</w:t>
      </w:r>
      <w:r>
        <w:rPr>
          <w:rFonts w:hint="eastAsia" w:ascii="黑体" w:hAnsi="黑体" w:eastAsia="黑体"/>
          <w:sz w:val="24"/>
          <w:szCs w:val="24"/>
          <w:lang w:val="en-US" w:eastAsia="zh-CN"/>
        </w:rPr>
        <w:t xml:space="preserve">  亿利洁能股权结构示意图</w:t>
      </w:r>
    </w:p>
    <w:p>
      <w:pPr>
        <w:ind w:left="0" w:leftChars="0" w:firstLine="0" w:firstLineChars="0"/>
        <w:jc w:val="center"/>
        <w:rPr>
          <w:rFonts w:hint="eastAsia" w:ascii="仿宋" w:hAnsi="仿宋" w:eastAsia="仿宋"/>
          <w:lang w:eastAsia="zh-CN"/>
        </w:rPr>
      </w:pPr>
      <w:r>
        <w:drawing>
          <wp:inline distT="0" distB="0" distL="114300" distR="114300">
            <wp:extent cx="5269865" cy="1703705"/>
            <wp:effectExtent l="0" t="0" r="698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69865" cy="1703705"/>
                    </a:xfrm>
                    <a:prstGeom prst="rect">
                      <a:avLst/>
                    </a:prstGeom>
                    <a:noFill/>
                    <a:ln>
                      <a:noFill/>
                    </a:ln>
                  </pic:spPr>
                </pic:pic>
              </a:graphicData>
            </a:graphic>
          </wp:inline>
        </w:drawing>
      </w:r>
    </w:p>
    <w:p>
      <w:pPr>
        <w:ind w:firstLine="400"/>
        <w:jc w:val="right"/>
        <w:rPr>
          <w:rFonts w:hint="eastAsia" w:ascii="仿宋" w:hAnsi="仿宋"/>
        </w:rPr>
      </w:pPr>
      <w:r>
        <w:rPr>
          <w:rFonts w:ascii="仿宋" w:hAnsi="仿宋" w:cs="Calibri"/>
          <w:color w:val="000000"/>
          <w:kern w:val="0"/>
          <w:sz w:val="20"/>
          <w:szCs w:val="20"/>
        </w:rPr>
        <w:t>数据来源：</w:t>
      </w:r>
      <w:r>
        <w:rPr>
          <w:rFonts w:hint="eastAsia" w:ascii="仿宋" w:hAnsi="仿宋" w:cs="Calibri"/>
          <w:color w:val="000000"/>
          <w:kern w:val="0"/>
          <w:sz w:val="20"/>
          <w:szCs w:val="20"/>
          <w:lang w:eastAsia="zh-CN"/>
        </w:rPr>
        <w:t>亿利洁能</w:t>
      </w:r>
      <w:r>
        <w:rPr>
          <w:rFonts w:hint="eastAsia" w:ascii="仿宋" w:hAnsi="仿宋" w:cs="Calibri"/>
          <w:color w:val="000000"/>
          <w:kern w:val="0"/>
          <w:sz w:val="20"/>
          <w:szCs w:val="20"/>
        </w:rPr>
        <w:t>公司2023年年报</w:t>
      </w:r>
    </w:p>
    <w:p>
      <w:pPr>
        <w:ind w:firstLine="560"/>
        <w:rPr>
          <w:rFonts w:hint="eastAsia" w:ascii="仿宋" w:hAnsi="仿宋"/>
        </w:rPr>
        <w:sectPr>
          <w:pgSz w:w="11906" w:h="16838"/>
          <w:pgMar w:top="1440" w:right="1800" w:bottom="1440" w:left="1800" w:header="851" w:footer="992" w:gutter="0"/>
          <w:cols w:space="425" w:num="1"/>
          <w:docGrid w:type="lines" w:linePitch="312" w:charSpace="0"/>
        </w:sectPr>
      </w:pPr>
    </w:p>
    <w:p>
      <w:pPr>
        <w:pStyle w:val="2"/>
        <w:keepNext w:val="0"/>
        <w:keepLines w:val="0"/>
        <w:widowControl/>
        <w:tabs>
          <w:tab w:val="left" w:pos="0"/>
        </w:tabs>
        <w:adjustRightInd w:val="0"/>
        <w:spacing w:before="156" w:beforeLines="50" w:after="156" w:afterLines="50" w:line="360" w:lineRule="auto"/>
        <w:jc w:val="center"/>
        <w:rPr>
          <w:rFonts w:ascii="黑体" w:hAnsi="黑体" w:eastAsia="黑体" w:cs="方正小标宋"/>
          <w:b/>
          <w:bCs/>
          <w:color w:val="auto"/>
          <w:sz w:val="44"/>
          <w:szCs w:val="44"/>
        </w:rPr>
      </w:pPr>
      <w:bookmarkStart w:id="125" w:name="_Toc28075"/>
      <w:bookmarkStart w:id="126" w:name="_Toc168770879"/>
      <w:bookmarkStart w:id="127" w:name="_Toc26051"/>
      <w:r>
        <w:rPr>
          <w:rFonts w:hint="eastAsia" w:ascii="黑体" w:hAnsi="黑体" w:eastAsia="黑体" w:cs="方正小标宋"/>
          <w:b/>
          <w:bCs/>
          <w:color w:val="auto"/>
          <w:sz w:val="44"/>
          <w:szCs w:val="44"/>
        </w:rPr>
        <w:t>第二章、</w:t>
      </w:r>
      <w:r>
        <w:rPr>
          <w:rFonts w:ascii="黑体" w:hAnsi="黑体" w:eastAsia="黑体" w:cs="方正小标宋"/>
          <w:b/>
          <w:bCs/>
          <w:color w:val="auto"/>
          <w:sz w:val="44"/>
          <w:szCs w:val="44"/>
        </w:rPr>
        <w:t>业务与盈利模式</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128" w:name="_Toc167560426"/>
      <w:bookmarkStart w:id="129" w:name="_Toc160525361"/>
      <w:bookmarkStart w:id="130" w:name="_Toc163034548"/>
      <w:bookmarkStart w:id="131" w:name="_Toc15288"/>
      <w:bookmarkStart w:id="132" w:name="_Toc164980143"/>
      <w:bookmarkStart w:id="133" w:name="_Toc161538491"/>
      <w:bookmarkStart w:id="134" w:name="_Toc165950663"/>
      <w:bookmarkStart w:id="135" w:name="_Toc168770880"/>
      <w:bookmarkStart w:id="136" w:name="_Toc166878905"/>
      <w:bookmarkStart w:id="137" w:name="_Toc164442360"/>
      <w:bookmarkStart w:id="138" w:name="_Toc168082473"/>
      <w:bookmarkStart w:id="139" w:name="_Toc161605242"/>
      <w:bookmarkStart w:id="140" w:name="_Toc24442"/>
      <w:bookmarkStart w:id="141" w:name="_Toc160331814"/>
      <w:bookmarkStart w:id="142" w:name="_Toc161842911"/>
      <w:bookmarkStart w:id="143" w:name="_Toc162555951"/>
      <w:r>
        <w:rPr>
          <w:rFonts w:hint="eastAsia" w:ascii="黑体" w:hAnsi="黑体" w:eastAsia="黑体" w:cs="黑体"/>
          <w:b/>
          <w:bCs/>
          <w:color w:val="auto"/>
          <w:sz w:val="36"/>
          <w:szCs w:val="36"/>
        </w:rPr>
        <w:t>一、业务模式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144" w:name="_Toc160331815"/>
      <w:bookmarkStart w:id="145" w:name="_Toc168082474"/>
      <w:bookmarkStart w:id="146" w:name="_Toc166878906"/>
      <w:bookmarkStart w:id="147" w:name="_Toc164980144"/>
      <w:bookmarkStart w:id="148" w:name="_Toc167560427"/>
      <w:bookmarkStart w:id="149" w:name="_Toc164442361"/>
      <w:bookmarkStart w:id="150" w:name="_Toc161538492"/>
      <w:bookmarkStart w:id="151" w:name="_Toc168770881"/>
      <w:bookmarkStart w:id="152" w:name="_Toc161842912"/>
      <w:bookmarkStart w:id="153" w:name="_Toc3327"/>
      <w:bookmarkStart w:id="154" w:name="_Toc165950664"/>
      <w:bookmarkStart w:id="155" w:name="_Toc160525362"/>
      <w:bookmarkStart w:id="156" w:name="_Toc163034549"/>
      <w:bookmarkStart w:id="157" w:name="_Toc161605243"/>
      <w:bookmarkStart w:id="158" w:name="_Toc162555952"/>
      <w:bookmarkStart w:id="159" w:name="_Toc23018"/>
      <w:r>
        <w:rPr>
          <w:rFonts w:ascii="仿宋" w:hAnsi="仿宋" w:eastAsia="仿宋" w:cs="Times New Roman (正文 CS 字体)"/>
          <w:b/>
          <w:bCs/>
          <w:color w:val="auto"/>
          <w:sz w:val="28"/>
          <w:szCs w:val="28"/>
        </w:rPr>
        <w:t>1.1主营业务</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bidi w:val="0"/>
        <w:rPr>
          <w:rFonts w:hint="eastAsia" w:ascii="仿宋" w:hAnsi="仿宋" w:eastAsia="仿宋" w:cs="仿宋"/>
          <w:lang w:eastAsia="zh-CN"/>
        </w:rPr>
      </w:pPr>
      <w:bookmarkStart w:id="160" w:name="_Toc161605244"/>
      <w:bookmarkStart w:id="161" w:name="_Toc160525363"/>
      <w:bookmarkStart w:id="162" w:name="_Toc163034550"/>
      <w:bookmarkStart w:id="163" w:name="_Toc161538493"/>
      <w:bookmarkStart w:id="164" w:name="_Toc161842913"/>
      <w:bookmarkStart w:id="165" w:name="_Toc160331816"/>
      <w:bookmarkStart w:id="166" w:name="_Toc162555953"/>
      <w:bookmarkStart w:id="167" w:name="_Toc164980145"/>
      <w:bookmarkStart w:id="168" w:name="_Toc164442362"/>
      <w:r>
        <w:rPr>
          <w:rFonts w:hint="eastAsia" w:ascii="仿宋" w:hAnsi="仿宋" w:eastAsia="仿宋" w:cs="仿宋"/>
        </w:rPr>
        <w:t>根据中国证监会《上市公司行业分类指引》，公司所属行业分类为化学原料及化学制品制造业。公司主营业务涵盖现代煤化工、光氢新能源、清洁热力等，公司聚焦“光伏+”产业链战略规划，创新“光伏发电、绿电制氢、绿色化工”三位一体低碳产业模式，致力打造沙戈荒风光氢储新材料绿色低碳领先企业，实现公司主业绿色低碳转型升级和高质量发展。公司建设以氯碱为核心的“煤—煤矸石发电—电石—离子膜烧碱、聚氯乙烯（PVC）—合成新材料—工业废渣综合利用生产水泥”的一体化现代煤化工产业园区，和以煤基多联产乙二醇、甲醇、复混肥、合成氨为核心的聚酯产业园区，主要产品包括聚氯乙烯（PVC）、烧碱、乙二醇、甲醇、复混肥等。</w:t>
      </w:r>
    </w:p>
    <w:p>
      <w:pPr>
        <w:bidi w:val="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rPr>
        <w:t>公司业务经营范围：</w:t>
      </w:r>
      <w:bookmarkStart w:id="169" w:name="_Toc168770882"/>
      <w:bookmarkStart w:id="170" w:name="_Toc165950665"/>
      <w:bookmarkStart w:id="171" w:name="_Toc166878907"/>
      <w:r>
        <w:rPr>
          <w:rFonts w:hint="eastAsia" w:ascii="仿宋" w:hAnsi="仿宋" w:eastAsia="仿宋" w:cs="仿宋"/>
        </w:rPr>
        <w:t>许可经营项目：无一般经营项目：电力供应；自来水生产和供应，污水处理及其再生利用，其他水的处理、利用和分配；火力发电，其他电力生产；风力发电、太阳能发电；水污染治理、大气污染治理、固体废物治理、其他污染治理；节能技术推广服务；热力生产和供应；对采矿业、制造业、金融业、租赁和商务服务业的投资与管理；煤炭开采和洗选业；电石的生产和销售（分支机构经营）；建筑材料、化工产品（除专营）销售；经营本企业自产产品及相关技术的出口业务；经营本企业生产科研所需的原辅材料，机械设备，仪器仪表，零配件及相关技术的出口业务；经营企业的进料加工和“三来一补”业务；PVC管材的销售；工程机械租赁；煤炭、化工技术咨询服务；煤矿机械设备及配件销售；煤炭销售（依法须经批准的项目，经相关部门批准后方可开展经营活动）</w:t>
      </w:r>
      <w:r>
        <w:rPr>
          <w:rFonts w:hint="eastAsia" w:ascii="仿宋" w:hAnsi="仿宋" w:eastAsia="仿宋" w:cs="仿宋"/>
          <w:lang w:eastAsia="zh-CN"/>
        </w:rPr>
        <w:t>。</w:t>
      </w:r>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172" w:name="_Toc26983"/>
      <w:bookmarkStart w:id="173" w:name="_Toc6704"/>
      <w:r>
        <w:rPr>
          <w:rFonts w:ascii="仿宋" w:hAnsi="仿宋" w:eastAsia="仿宋" w:cs="Times New Roman (正文 CS 字体)"/>
          <w:b/>
          <w:bCs/>
          <w:color w:val="auto"/>
          <w:sz w:val="28"/>
          <w:szCs w:val="28"/>
        </w:rPr>
        <w:t>1.2主要产品</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bidi w:val="0"/>
        <w:rPr>
          <w:rFonts w:hint="eastAsia" w:ascii="仿宋" w:hAnsi="仿宋" w:eastAsia="仿宋" w:cs="仿宋"/>
        </w:rPr>
      </w:pPr>
      <w:bookmarkStart w:id="174" w:name="_Toc164980146"/>
      <w:bookmarkStart w:id="175" w:name="_Toc161605245"/>
      <w:bookmarkStart w:id="176" w:name="_Toc161538494"/>
      <w:bookmarkStart w:id="177" w:name="_Toc163034551"/>
      <w:bookmarkStart w:id="178" w:name="_Toc162555954"/>
      <w:bookmarkStart w:id="179" w:name="_Toc160525364"/>
      <w:bookmarkStart w:id="180" w:name="_Toc160331817"/>
      <w:bookmarkStart w:id="181" w:name="_Toc164442363"/>
      <w:r>
        <w:rPr>
          <w:rFonts w:hint="eastAsia" w:ascii="仿宋" w:hAnsi="仿宋" w:eastAsia="仿宋" w:cs="仿宋"/>
        </w:rPr>
        <w:t>（1）</w:t>
      </w:r>
      <w:bookmarkStart w:id="182" w:name="_Toc166878908"/>
      <w:bookmarkStart w:id="183" w:name="_Toc165950666"/>
      <w:r>
        <w:rPr>
          <w:rFonts w:hint="eastAsia" w:ascii="仿宋" w:hAnsi="仿宋" w:eastAsia="仿宋" w:cs="仿宋"/>
        </w:rPr>
        <w:t>聚氯乙烯（PVC）、烧碱</w:t>
      </w:r>
    </w:p>
    <w:p>
      <w:pPr>
        <w:bidi w:val="0"/>
        <w:rPr>
          <w:rFonts w:hint="eastAsia" w:ascii="仿宋" w:hAnsi="仿宋" w:eastAsia="仿宋" w:cs="仿宋"/>
          <w:lang w:val="en-US" w:eastAsia="zh-CN"/>
        </w:rPr>
      </w:pPr>
      <w:r>
        <w:rPr>
          <w:rFonts w:hint="eastAsia" w:ascii="仿宋" w:hAnsi="仿宋" w:eastAsia="仿宋" w:cs="仿宋"/>
        </w:rPr>
        <w:t>公司达拉特化工园区以亿利化学、达拉特分公司为核心企业，打造“煤—煤矸石发电—电石—离子膜烧碱、聚氯乙烯（PVC）—合成新材料—工业废渣综合利用生产水泥”的一体化循环经济产业链。该产业链中包括公司全资的年产64万吨环保型电石项目；控股的年产50万吨PVC、40万吨烧碱项目、配套2×50MW自备热电厂；参股4×200MW煤矸石发电机组；参股年产120万吨工业废渣制水泥项目。主要产品聚氯乙烯（PVC）产能及产品质量位居行业前列，是大连商品交易所交割免检品牌。</w:t>
      </w:r>
    </w:p>
    <w:p>
      <w:pPr>
        <w:bidi w:val="0"/>
        <w:rPr>
          <w:rFonts w:hint="eastAsia" w:ascii="仿宋" w:hAnsi="仿宋" w:eastAsia="仿宋" w:cs="仿宋"/>
          <w:lang w:eastAsia="zh-CN"/>
        </w:rPr>
      </w:pPr>
      <w:r>
        <w:rPr>
          <w:rFonts w:hint="eastAsia" w:ascii="仿宋" w:hAnsi="仿宋" w:eastAsia="仿宋" w:cs="仿宋"/>
        </w:rPr>
        <w:t>（2）</w:t>
      </w:r>
      <w:bookmarkStart w:id="184" w:name="_Toc168082475"/>
      <w:bookmarkStart w:id="185" w:name="_Toc167560428"/>
      <w:r>
        <w:rPr>
          <w:rFonts w:hint="eastAsia" w:ascii="仿宋" w:hAnsi="仿宋" w:eastAsia="仿宋" w:cs="仿宋"/>
        </w:rPr>
        <w:t>乙二醇、合成氨、复混肥</w:t>
      </w:r>
    </w:p>
    <w:p>
      <w:pPr>
        <w:bidi w:val="0"/>
        <w:rPr>
          <w:rFonts w:hint="eastAsia" w:ascii="仿宋" w:hAnsi="仿宋" w:eastAsia="仿宋" w:cs="仿宋"/>
          <w:lang w:val="en-US" w:eastAsia="zh-CN"/>
        </w:rPr>
      </w:pPr>
      <w:r>
        <w:rPr>
          <w:rFonts w:hint="eastAsia" w:ascii="仿宋" w:hAnsi="仿宋" w:eastAsia="仿宋" w:cs="仿宋"/>
        </w:rPr>
        <w:t>库布其化工园区以亿鼎公司、鑫润公司为核心企业，打造以煤基多联产乙二醇、甲醇、复混肥、合成氨为核心的循环经济产业链。该产业链包括公司控股的年产40万吨乙二醇、20万吨甲醇、年产60万吨合成氨、104万吨复混肥项目，产能位居行业前列。</w:t>
      </w:r>
    </w:p>
    <w:p>
      <w:pPr>
        <w:bidi w:val="0"/>
        <w:rPr>
          <w:rFonts w:hint="eastAsia" w:ascii="仿宋" w:hAnsi="仿宋" w:eastAsia="仿宋" w:cs="仿宋"/>
          <w:lang w:eastAsia="zh-CN"/>
        </w:rPr>
      </w:pPr>
      <w:r>
        <w:rPr>
          <w:rFonts w:hint="eastAsia" w:ascii="仿宋" w:hAnsi="仿宋" w:eastAsia="仿宋" w:cs="仿宋"/>
        </w:rPr>
        <w:t>（3）光氢新能源</w:t>
      </w:r>
    </w:p>
    <w:p>
      <w:pPr>
        <w:bidi w:val="0"/>
        <w:rPr>
          <w:rFonts w:hint="eastAsia" w:ascii="仿宋" w:hAnsi="仿宋" w:eastAsia="仿宋" w:cs="仿宋"/>
        </w:rPr>
      </w:pPr>
      <w:r>
        <w:rPr>
          <w:rFonts w:hint="eastAsia" w:ascii="仿宋" w:hAnsi="仿宋" w:eastAsia="仿宋" w:cs="仿宋"/>
        </w:rPr>
        <w:t>公司积极响应“十四五”规划新能源战略部署，持续聚焦大型光伏治沙项目产业投资，在沙漠、戈壁、荒漠地区联合央/国企共同发展立体生态光伏治沙产业，同时依托多年氢气工业制取与应用经验和成熟的氢产业消纳优势，拓展实施光伏制氢与氢装备制造产业投资运营，创新“光伏治沙+光伏制氢+绿氢化工”的一体化“光氢化零碳产业基地”模式。</w:t>
      </w:r>
    </w:p>
    <w:p>
      <w:pPr>
        <w:bidi w:val="0"/>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清洁热力</w:t>
      </w:r>
    </w:p>
    <w:p>
      <w:pPr>
        <w:bidi w:val="0"/>
        <w:rPr>
          <w:rFonts w:hint="eastAsia" w:ascii="仿宋" w:hAnsi="仿宋" w:eastAsia="仿宋" w:cs="仿宋"/>
          <w:lang w:eastAsia="zh-CN"/>
        </w:rPr>
      </w:pPr>
      <w:r>
        <w:rPr>
          <w:rFonts w:hint="eastAsia" w:ascii="仿宋" w:hAnsi="仿宋" w:eastAsia="仿宋" w:cs="仿宋"/>
        </w:rPr>
        <w:t>公司聚焦大型工业园区节能减排，实现“冷、热、电、气、水”多联供，构筑智能化能源供应体系。公司旗下洁能科技拥有的“微煤雾化”技术提供以“清洁热力”为主的冷热电气多联供，同时依托现有高效煤粉供热为基础，在工业园区内拓展实践城市污泥、工业污泥燃烧供热、天然气、生物质和分布式能源供热等。</w:t>
      </w:r>
    </w:p>
    <w:p>
      <w:pPr>
        <w:ind w:firstLine="560"/>
        <w:rPr>
          <w:rFonts w:hint="eastAsia" w:ascii="仿宋" w:hAnsi="仿宋" w:eastAsia="仿宋"/>
          <w:lang w:eastAsia="zh-CN"/>
        </w:rPr>
        <w:sectPr>
          <w:pgSz w:w="11906" w:h="16838"/>
          <w:pgMar w:top="1440" w:right="1800" w:bottom="1440" w:left="1800" w:header="851" w:footer="992" w:gutter="0"/>
          <w:cols w:space="425" w:num="1"/>
          <w:docGrid w:type="lines" w:linePitch="312" w:charSpace="0"/>
        </w:sectPr>
      </w:pPr>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186" w:name="_Toc168770883"/>
      <w:bookmarkStart w:id="187" w:name="_Toc18026"/>
      <w:bookmarkStart w:id="188" w:name="_Toc11532"/>
      <w:r>
        <w:rPr>
          <w:rFonts w:ascii="仿宋" w:hAnsi="仿宋" w:eastAsia="仿宋" w:cs="Times New Roman (正文 CS 字体)"/>
          <w:b/>
          <w:bCs/>
          <w:color w:val="auto"/>
          <w:sz w:val="28"/>
          <w:szCs w:val="28"/>
        </w:rPr>
        <w:t>1.3营收分析</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ind w:firstLine="560"/>
        <w:rPr>
          <w:rFonts w:ascii="仿宋" w:hAnsi="仿宋"/>
        </w:rPr>
      </w:pPr>
      <w:r>
        <w:rPr>
          <w:rFonts w:hint="eastAsia" w:ascii="仿宋" w:hAnsi="仿宋"/>
        </w:rPr>
        <w:t>（1）按产品分类</w:t>
      </w:r>
    </w:p>
    <w:p>
      <w:pPr>
        <w:ind w:firstLine="0" w:firstLineChars="0"/>
        <w:jc w:val="center"/>
        <w:rPr>
          <w:rFonts w:ascii="黑体" w:hAnsi="黑体" w:eastAsia="黑体"/>
          <w:sz w:val="24"/>
          <w:szCs w:val="24"/>
        </w:rPr>
      </w:pPr>
      <w:r>
        <w:rPr>
          <w:rFonts w:hint="eastAsia" w:ascii="黑体" w:hAnsi="黑体" w:eastAsia="黑体"/>
          <w:sz w:val="24"/>
          <w:szCs w:val="24"/>
        </w:rPr>
        <w:t>表</w:t>
      </w:r>
      <w:r>
        <w:rPr>
          <w:rFonts w:hint="eastAsia" w:ascii="黑体" w:hAnsi="黑体" w:eastAsia="黑体"/>
          <w:sz w:val="24"/>
          <w:szCs w:val="24"/>
          <w:lang w:val="en-US" w:eastAsia="zh-CN"/>
        </w:rPr>
        <w:t xml:space="preserve">3  </w:t>
      </w:r>
      <w:r>
        <w:rPr>
          <w:rFonts w:hint="eastAsia" w:ascii="黑体" w:hAnsi="黑体" w:eastAsia="黑体"/>
          <w:sz w:val="24"/>
          <w:szCs w:val="24"/>
          <w:lang w:eastAsia="zh-CN"/>
        </w:rPr>
        <w:t>亿利洁能</w:t>
      </w:r>
      <w:r>
        <w:rPr>
          <w:rFonts w:hint="eastAsia" w:ascii="黑体" w:hAnsi="黑体" w:eastAsia="黑体"/>
          <w:sz w:val="24"/>
          <w:szCs w:val="24"/>
        </w:rPr>
        <w:t>营收表（按产品分类）</w:t>
      </w:r>
    </w:p>
    <w:p>
      <w:pPr>
        <w:wordWrap w:val="0"/>
        <w:ind w:firstLine="400"/>
        <w:jc w:val="right"/>
        <w:rPr>
          <w:sz w:val="20"/>
          <w:szCs w:val="20"/>
        </w:rPr>
      </w:pPr>
      <w:r>
        <w:rPr>
          <w:rFonts w:hint="eastAsia"/>
          <w:sz w:val="20"/>
          <w:szCs w:val="20"/>
        </w:rPr>
        <w:t>单位：万元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8"/>
        <w:gridCol w:w="1473"/>
        <w:gridCol w:w="1639"/>
        <w:gridCol w:w="1639"/>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eastAsia" w:ascii="仿宋" w:hAnsi="仿宋" w:cs="宋体"/>
                <w:b/>
                <w:bCs/>
                <w:color w:val="000000"/>
                <w:kern w:val="0"/>
                <w:sz w:val="16"/>
                <w:szCs w:val="16"/>
                <w:lang w:val="en-US" w:eastAsia="zh-CN"/>
              </w:rPr>
            </w:pPr>
          </w:p>
        </w:tc>
        <w:tc>
          <w:tcPr>
            <w:tcW w:w="864"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2023年报</w:t>
            </w:r>
          </w:p>
        </w:tc>
        <w:tc>
          <w:tcPr>
            <w:tcW w:w="96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2022年报</w:t>
            </w:r>
          </w:p>
        </w:tc>
        <w:tc>
          <w:tcPr>
            <w:tcW w:w="96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2021年报</w:t>
            </w:r>
          </w:p>
        </w:tc>
        <w:tc>
          <w:tcPr>
            <w:tcW w:w="962"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2020年报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营业收入</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聚氯乙烯</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271,364.84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326,188.50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392,376.99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293,047.07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清洁热力</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178,183.46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190,768.94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168,328.20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159,760.07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复混肥</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111,305.62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161,327.34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125,045.47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81,917.08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液碱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83,007.51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108,551.14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67,845.73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53,391.16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乙二醇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71,356.07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113,392.48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131,203.02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95,820.42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55,894.31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87,233.51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186,433.19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457,144.36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52,211.32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58,776.23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83,974.97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57,366.52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27,705.27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23,603.68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41,297.85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59,558.57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电石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11,220.53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24,359.33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30,679.07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24,010.96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11,063.51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18,938.59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9,338.79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7,663.03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甲醇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2,817.69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4,676.32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7,353.76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H2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超细硫酸钡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低铁硫化钠</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净化变换非变换气</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抗旱增产剂</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硫化钠</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氯碱副产品</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内部抵销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片碱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日晒碱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日晒硝</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盐</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药品及保健品</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元明粉</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营业成本</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聚氯乙烯</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278,784.68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300,793.76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294,756.25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225,666.02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清洁热力</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150,157.25</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181,300.86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176,082.51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120,268.28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复混肥</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102,152.66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112,677.91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99,553.02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75,917.01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液碱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45,906.07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45,507.01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46,728.94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38,734.56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乙二醇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105,151.23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133,401.95</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130,525.22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115,626.51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53,257.38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80,888.10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179,601.80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450,628.62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51,667.12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56,901.32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81,787.72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55,928.95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12,763.63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8,029.88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15,481.50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21,145.72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电石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11,319.11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21,392.17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22,477.46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19,395.84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925.29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8,507.58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2,155.68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甲醇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4,685.76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8,451.67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10,253.07</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2,860.92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H2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净化变换非变换气</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氯碱副产品</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内部抵销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片碱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聚氯乙烯</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-7,419.85</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25,394.75</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97,620.74</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67,381.05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清洁热力</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28,026.21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9,468.08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-7,754.30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39,491.80</w:t>
            </w:r>
          </w:p>
        </w:tc>
      </w:tr>
    </w:tbl>
    <w:p>
      <w:pPr>
        <w:ind w:left="0" w:leftChars="0"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续上表</w:t>
      </w:r>
      <w:r>
        <w:rPr>
          <w:rFonts w:hint="eastAsia" w:ascii="仿宋" w:hAnsi="仿宋" w:cs="仿宋"/>
          <w:sz w:val="24"/>
          <w:szCs w:val="24"/>
          <w:lang w:val="en-US" w:eastAsia="zh-CN"/>
        </w:rPr>
        <w:t>3</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8"/>
        <w:gridCol w:w="1473"/>
        <w:gridCol w:w="1639"/>
        <w:gridCol w:w="1639"/>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复混肥</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9,152.96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48,649.43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25,492.46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液碱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37,101.43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63,044.14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21,116.80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14,656.60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乙二醇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-33,795.16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-20,009.46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677.80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-19,806.09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2,636.93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6,345.41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6,831.39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6,515.74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544.20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1,874.92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2,187.26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14,941.63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15,573.80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25,816.35</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38,412.85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电石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-98.58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2,967.16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8,201.61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10,138.22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10,431.02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7,183.11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甲醇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-1,868.07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-3,775.34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-2,899.31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H2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净化变换非变换气</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氯碱副产品</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内部抵销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片碱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14.31%</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14.83%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聚氯乙烯</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7.79%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24.88%</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清洁热力</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15.73%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复混肥</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8.22%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30.16%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20.39%</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液碱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44.70%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58.08%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31.12%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乙二醇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-47.36%</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-17.65%</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4.72%</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7.27%</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3.66%</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3.19%</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2.60%</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53.93%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65.98%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62.51%</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电石</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-0.88%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12.18%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26.73%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91.64%</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55.08%</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76.92%</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甲醇</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-66.30%</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-80.73%</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-39.43%</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CO2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H2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净化变换非变换气</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氯碱副产品</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内部抵销</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片碱</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bl>
    <w:p>
      <w:pPr>
        <w:wordWrap w:val="0"/>
        <w:ind w:firstLine="400"/>
        <w:jc w:val="right"/>
        <w:rPr>
          <w:sz w:val="20"/>
          <w:szCs w:val="20"/>
        </w:rPr>
      </w:pPr>
      <w:r>
        <w:rPr>
          <w:sz w:val="20"/>
          <w:szCs w:val="20"/>
        </w:rPr>
        <w:t>数据来源：同花顺iFinD</w:t>
      </w:r>
    </w:p>
    <w:p>
      <w:pPr>
        <w:ind w:firstLine="560"/>
        <w:sectPr>
          <w:pgSz w:w="11906" w:h="16838"/>
          <w:pgMar w:top="1440" w:right="1800" w:bottom="1440" w:left="1800" w:header="851" w:footer="992" w:gutter="0"/>
          <w:cols w:space="425" w:num="1"/>
          <w:docGrid w:type="lines" w:linePitch="312" w:charSpace="0"/>
        </w:sectPr>
      </w:pPr>
    </w:p>
    <w:p>
      <w:pPr>
        <w:ind w:firstLine="560"/>
        <w:rPr>
          <w:rFonts w:ascii="仿宋" w:hAnsi="仿宋"/>
        </w:rPr>
      </w:pPr>
      <w:r>
        <w:rPr>
          <w:rFonts w:hint="eastAsia" w:ascii="仿宋" w:hAnsi="仿宋"/>
        </w:rPr>
        <w:t>（2）按行业分类</w:t>
      </w: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黑体" w:hAnsi="黑体" w:eastAsia="黑体"/>
          <w:sz w:val="24"/>
          <w:szCs w:val="24"/>
        </w:rPr>
      </w:pPr>
      <w:r>
        <w:rPr>
          <w:rFonts w:hint="eastAsia" w:ascii="黑体" w:hAnsi="黑体" w:eastAsia="黑体"/>
          <w:sz w:val="24"/>
          <w:szCs w:val="24"/>
        </w:rPr>
        <w:t>表</w:t>
      </w:r>
      <w:r>
        <w:rPr>
          <w:rFonts w:hint="eastAsia" w:ascii="黑体" w:hAnsi="黑体" w:eastAsia="黑体"/>
          <w:sz w:val="24"/>
          <w:szCs w:val="24"/>
          <w:lang w:val="en-US" w:eastAsia="zh-CN"/>
        </w:rPr>
        <w:t xml:space="preserve">4  </w:t>
      </w:r>
      <w:r>
        <w:rPr>
          <w:rFonts w:hint="eastAsia" w:ascii="黑体" w:hAnsi="黑体" w:eastAsia="黑体"/>
          <w:sz w:val="24"/>
          <w:szCs w:val="24"/>
          <w:lang w:eastAsia="zh-CN"/>
        </w:rPr>
        <w:t>亿利洁能</w:t>
      </w:r>
      <w:r>
        <w:rPr>
          <w:rFonts w:hint="eastAsia" w:ascii="黑体" w:hAnsi="黑体" w:eastAsia="黑体"/>
          <w:sz w:val="24"/>
          <w:szCs w:val="24"/>
        </w:rPr>
        <w:t>营收表（按行业分类）</w:t>
      </w:r>
    </w:p>
    <w:p>
      <w:pPr>
        <w:wordWrap w:val="0"/>
        <w:ind w:firstLine="400"/>
        <w:jc w:val="right"/>
        <w:rPr>
          <w:sz w:val="20"/>
          <w:szCs w:val="20"/>
        </w:rPr>
      </w:pPr>
      <w:r>
        <w:rPr>
          <w:rFonts w:hint="eastAsia"/>
          <w:sz w:val="20"/>
          <w:szCs w:val="20"/>
        </w:rPr>
        <w:t>单位：万元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1704"/>
        <w:gridCol w:w="1704"/>
        <w:gridCol w:w="170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eastAsia" w:ascii="仿宋" w:hAnsi="仿宋" w:cs="宋体"/>
                <w:b/>
                <w:bCs/>
                <w:color w:val="000000"/>
                <w:kern w:val="0"/>
                <w:sz w:val="16"/>
                <w:szCs w:val="16"/>
                <w:lang w:val="en-US" w:eastAsia="zh-CN"/>
              </w:rPr>
            </w:pP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2023年报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2022年报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2020年报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营业收入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化工制造业</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551,072.24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738,495.12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754,504.05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550,027.55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清洁能源</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178,183.46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190,768.94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168,328.20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159,760.07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55,894.31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87,233.51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186,433.19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457,144.36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52,211.32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58,776.23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83,974.97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57,366.52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27,705.27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23,603.68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41,297.85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59,558.57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11,063.51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18,938.59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9,338.79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7,663.03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煤炭采掘</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生态生物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医药</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装备制造</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营业成本</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化工制造业</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547,999.52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622,224.45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604,293.95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478,200.87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清洁能源</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150,157.25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181,300.86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176,082.51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120,268.28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53,257.38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80,888.10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179,601.80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450,628.62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51,667.12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56,901.32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81,787.72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55,928.95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12,763.63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8,029.88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15,481.50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21,145.72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925.29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8,507.58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2,155.68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煤炭采掘</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生态生物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医药</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装备制造</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化工制造业</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3,072.73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116,270.67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150,210.10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71,826.68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清洁能源</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28,026.21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9,468.08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-7,754.30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39,491.80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2,636.93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6,345.41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6,831.39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6,515.74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544.20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1,874.92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2,187.26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14,941.63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15,573.80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25,816.35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38,412.85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10,138.22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10,431.02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7,183.11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煤炭采掘</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生态生物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医药</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装备制造</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毛利率</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14.83%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化工制造业</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15.74%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19.91%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清洁能源</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15.73%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供应链物流</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4.72%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7.27%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煤炭经销</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光伏发电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53.93%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65.98%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62.51%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91.64%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发电</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化工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煤炭采掘</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生态生物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医药</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装备制造</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bl>
    <w:p>
      <w:pPr>
        <w:wordWrap w:val="0"/>
        <w:ind w:firstLine="400"/>
        <w:jc w:val="right"/>
        <w:rPr>
          <w:sz w:val="20"/>
          <w:szCs w:val="20"/>
        </w:rPr>
      </w:pPr>
      <w:r>
        <w:rPr>
          <w:sz w:val="20"/>
          <w:szCs w:val="20"/>
        </w:rPr>
        <w:t>数据来源：同花顺iFinD</w:t>
      </w:r>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sectPr>
          <w:pgSz w:w="11906" w:h="16838"/>
          <w:pgMar w:top="1440" w:right="1800" w:bottom="1440" w:left="1800" w:header="851" w:footer="992" w:gutter="0"/>
          <w:cols w:space="425" w:num="1"/>
          <w:docGrid w:type="lines" w:linePitch="312" w:charSpace="0"/>
        </w:sectPr>
      </w:pPr>
    </w:p>
    <w:p>
      <w:pPr>
        <w:ind w:firstLine="560"/>
        <w:rPr>
          <w:rFonts w:hint="eastAsia" w:ascii="仿宋" w:hAnsi="仿宋"/>
        </w:rPr>
      </w:pPr>
      <w:r>
        <w:rPr>
          <w:rFonts w:hint="eastAsia" w:ascii="仿宋" w:hAnsi="仿宋"/>
        </w:rPr>
        <w:t>（3）按地区分类</w:t>
      </w:r>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表</w:t>
      </w:r>
      <w:r>
        <w:rPr>
          <w:rFonts w:hint="eastAsia" w:ascii="黑体" w:hAnsi="黑体" w:eastAsia="黑体"/>
          <w:sz w:val="24"/>
          <w:szCs w:val="24"/>
          <w:lang w:val="en-US" w:eastAsia="zh-CN"/>
        </w:rPr>
        <w:t xml:space="preserve">5  </w:t>
      </w:r>
      <w:r>
        <w:rPr>
          <w:rFonts w:hint="eastAsia" w:ascii="黑体" w:hAnsi="黑体" w:eastAsia="黑体"/>
          <w:sz w:val="24"/>
          <w:szCs w:val="24"/>
          <w:lang w:eastAsia="zh-CN"/>
        </w:rPr>
        <w:t>亿利洁能</w:t>
      </w:r>
      <w:r>
        <w:rPr>
          <w:rFonts w:hint="eastAsia" w:ascii="黑体" w:hAnsi="黑体" w:eastAsia="黑体"/>
          <w:sz w:val="24"/>
          <w:szCs w:val="24"/>
        </w:rPr>
        <w:t>营收表（按地区分类）</w:t>
      </w:r>
    </w:p>
    <w:p>
      <w:pPr>
        <w:wordWrap w:val="0"/>
        <w:ind w:firstLine="400"/>
        <w:jc w:val="right"/>
        <w:rPr>
          <w:sz w:val="20"/>
          <w:szCs w:val="20"/>
        </w:rPr>
      </w:pPr>
      <w:r>
        <w:rPr>
          <w:rFonts w:hint="eastAsia"/>
          <w:sz w:val="20"/>
          <w:szCs w:val="20"/>
        </w:rPr>
        <w:t>单位：万元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1704"/>
        <w:gridCol w:w="1704"/>
        <w:gridCol w:w="170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eastAsia" w:ascii="仿宋" w:hAnsi="仿宋" w:cs="宋体"/>
                <w:b/>
                <w:bCs/>
                <w:color w:val="000000"/>
                <w:kern w:val="0"/>
                <w:sz w:val="16"/>
                <w:szCs w:val="16"/>
                <w:lang w:val="en-US" w:eastAsia="zh-CN"/>
              </w:rPr>
            </w:pP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2023年报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2022年报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2021年报</w:t>
            </w:r>
          </w:p>
        </w:tc>
        <w:tc>
          <w:tcPr>
            <w:tcW w:w="1000"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2020年报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营业收入</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859,454.48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1,078,648.53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1,232,286.91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1,275,171.06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11,063.51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18,938.59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9,338.79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7,663.03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海外地区</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5,612.12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20,228.96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2,251.36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8,686.02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1,291,520.10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营业成本</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810,385.74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938,933.36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1,055,391.90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1,118,870.99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925.29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8,507.58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2,155.68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海外地区</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5,459.16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10,411.25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1,855.57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7,301.45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816,770.19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957,852.19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1,059,403.15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1,127,052.80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49,068.74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139,715.17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176,895.01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156,300.07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10,138.22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10,431.02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7,183.11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海外地区</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152.96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9,817.71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395.79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1,384.57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59,359.92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159,963.89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184,473.90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164,467.30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毛利率</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14.83%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境内</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5.71%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其他业务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91.64%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海外地区</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48.53%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17.58%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15.94%</w:t>
            </w:r>
          </w:p>
        </w:tc>
      </w:tr>
    </w:tbl>
    <w:p>
      <w:pPr>
        <w:wordWrap w:val="0"/>
        <w:ind w:firstLine="400"/>
        <w:jc w:val="right"/>
        <w:rPr>
          <w:sz w:val="20"/>
          <w:szCs w:val="20"/>
        </w:rPr>
      </w:pPr>
      <w:r>
        <w:rPr>
          <w:sz w:val="20"/>
          <w:szCs w:val="20"/>
        </w:rPr>
        <w:t>数据来源：同花顺iFinD</w:t>
      </w:r>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sectPr>
          <w:pgSz w:w="11906" w:h="16838"/>
          <w:pgMar w:top="1440" w:right="1800" w:bottom="1440" w:left="1800" w:header="851" w:footer="992" w:gutter="0"/>
          <w:cols w:space="425" w:num="1"/>
          <w:docGrid w:type="lines" w:linePitch="312" w:charSpace="0"/>
        </w:sectPr>
      </w:pPr>
      <w:bookmarkStart w:id="189" w:name="_Toc162555955"/>
      <w:bookmarkStart w:id="190" w:name="_Toc161538495"/>
      <w:bookmarkStart w:id="191" w:name="_Toc160525365"/>
      <w:bookmarkStart w:id="192" w:name="_Toc164442364"/>
      <w:bookmarkStart w:id="193" w:name="_Toc163034552"/>
      <w:bookmarkStart w:id="194" w:name="_Toc160331818"/>
      <w:bookmarkStart w:id="195" w:name="_Toc161605246"/>
      <w:bookmarkStart w:id="196" w:name="_Toc161842914"/>
    </w:p>
    <w:bookmarkEnd w:id="189"/>
    <w:bookmarkEnd w:id="190"/>
    <w:bookmarkEnd w:id="191"/>
    <w:bookmarkEnd w:id="192"/>
    <w:bookmarkEnd w:id="193"/>
    <w:bookmarkEnd w:id="194"/>
    <w:bookmarkEnd w:id="195"/>
    <w:bookmarkEnd w:id="196"/>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197" w:name="_Toc168082477"/>
      <w:bookmarkStart w:id="198" w:name="_Toc4638"/>
      <w:bookmarkStart w:id="199" w:name="_Toc28637"/>
      <w:bookmarkStart w:id="200" w:name="_Toc168770884"/>
      <w:bookmarkStart w:id="201" w:name="_Toc167560430"/>
      <w:bookmarkStart w:id="202" w:name="_Toc164442366"/>
      <w:bookmarkStart w:id="203" w:name="_Toc165950670"/>
      <w:bookmarkStart w:id="204" w:name="_Toc161842917"/>
      <w:bookmarkStart w:id="205" w:name="_Toc164980156"/>
      <w:bookmarkStart w:id="206" w:name="_Toc161605248"/>
      <w:bookmarkStart w:id="207" w:name="_Toc160331821"/>
      <w:bookmarkStart w:id="208" w:name="_Toc162555958"/>
      <w:bookmarkStart w:id="209" w:name="_Toc160525368"/>
      <w:bookmarkStart w:id="210" w:name="_Toc161538498"/>
      <w:bookmarkStart w:id="211" w:name="_Toc163034555"/>
      <w:bookmarkStart w:id="212" w:name="_Toc166878910"/>
      <w:r>
        <w:rPr>
          <w:rFonts w:hint="eastAsia" w:ascii="黑体" w:hAnsi="黑体" w:eastAsia="黑体" w:cs="黑体"/>
          <w:b/>
          <w:bCs/>
          <w:color w:val="auto"/>
          <w:sz w:val="36"/>
          <w:szCs w:val="36"/>
        </w:rPr>
        <w:t>二、</w:t>
      </w:r>
      <w:r>
        <w:rPr>
          <w:rFonts w:hint="eastAsia" w:ascii="黑体" w:hAnsi="黑体" w:eastAsia="黑体" w:cs="黑体"/>
          <w:b/>
          <w:bCs/>
          <w:color w:val="auto"/>
          <w:sz w:val="36"/>
          <w:szCs w:val="36"/>
          <w:lang w:val="en-US" w:eastAsia="zh-CN"/>
        </w:rPr>
        <w:t>采购</w:t>
      </w:r>
      <w:r>
        <w:rPr>
          <w:rFonts w:hint="eastAsia" w:ascii="黑体" w:hAnsi="黑体" w:eastAsia="黑体" w:cs="黑体"/>
          <w:b/>
          <w:bCs/>
          <w:color w:val="auto"/>
          <w:sz w:val="36"/>
          <w:szCs w:val="36"/>
        </w:rPr>
        <w:t>模式</w:t>
      </w:r>
      <w:bookmarkEnd w:id="197"/>
      <w:bookmarkEnd w:id="198"/>
      <w:bookmarkEnd w:id="199"/>
      <w:bookmarkEnd w:id="200"/>
      <w:bookmarkEnd w:id="201"/>
    </w:p>
    <w:p>
      <w:pPr>
        <w:bidi w:val="0"/>
        <w:rPr>
          <w:rFonts w:hint="default" w:ascii="仿宋" w:hAnsi="仿宋" w:eastAsia="仿宋" w:cs="仿宋"/>
          <w:lang w:val="en-US" w:eastAsia="zh-CN"/>
        </w:rPr>
      </w:pPr>
      <w:bookmarkStart w:id="213" w:name="_Toc167560432"/>
      <w:bookmarkStart w:id="214" w:name="_Toc168770886"/>
      <w:bookmarkStart w:id="215" w:name="_Toc168082479"/>
      <w:r>
        <w:rPr>
          <w:rFonts w:hint="eastAsia" w:ascii="仿宋" w:hAnsi="仿宋" w:eastAsia="仿宋" w:cs="仿宋"/>
          <w:lang w:val="en-US" w:eastAsia="zh-CN"/>
        </w:rPr>
        <w:t>在现代煤化工产业方面，</w:t>
      </w:r>
      <w:r>
        <w:rPr>
          <w:rFonts w:hint="eastAsia" w:ascii="仿宋" w:hAnsi="仿宋" w:eastAsia="仿宋" w:cs="仿宋"/>
        </w:rPr>
        <w:t>公司PVC、烧碱业务主要由子公司亿利化学经营，乙二醇、甲醇业务由鑫润公司经营，复混肥、合成氨由亿鼎公司经营。公司根据采购合同金额、采购原材料性质不同，采取不同的采购模式。</w:t>
      </w:r>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216" w:name="_Toc32744"/>
      <w:bookmarkStart w:id="217" w:name="_Toc11392"/>
      <w:r>
        <w:rPr>
          <w:rFonts w:hint="eastAsia" w:ascii="黑体" w:hAnsi="黑体" w:eastAsia="黑体" w:cs="黑体"/>
          <w:b/>
          <w:bCs/>
          <w:color w:val="auto"/>
          <w:sz w:val="36"/>
          <w:szCs w:val="36"/>
          <w:lang w:val="en-US" w:eastAsia="zh-CN"/>
        </w:rPr>
        <w:t>三</w:t>
      </w:r>
      <w:r>
        <w:rPr>
          <w:rFonts w:hint="eastAsia" w:ascii="黑体" w:hAnsi="黑体" w:eastAsia="黑体" w:cs="黑体"/>
          <w:b/>
          <w:bCs/>
          <w:color w:val="auto"/>
          <w:sz w:val="36"/>
          <w:szCs w:val="36"/>
        </w:rPr>
        <w:t>、生产模式</w:t>
      </w:r>
      <w:bookmarkEnd w:id="216"/>
      <w:bookmarkEnd w:id="217"/>
    </w:p>
    <w:p>
      <w:pPr>
        <w:bidi w:val="0"/>
        <w:rPr>
          <w:rFonts w:hint="eastAsia" w:ascii="仿宋" w:hAnsi="仿宋" w:eastAsia="仿宋" w:cs="仿宋"/>
          <w:lang w:eastAsia="zh-CN"/>
        </w:rPr>
      </w:pPr>
      <w:r>
        <w:rPr>
          <w:rFonts w:hint="eastAsia" w:ascii="仿宋" w:hAnsi="仿宋" w:eastAsia="仿宋" w:cs="仿宋"/>
          <w:lang w:val="en-US" w:eastAsia="zh-CN"/>
        </w:rPr>
        <w:t>在现代煤化工产业方面，</w:t>
      </w:r>
      <w:r>
        <w:rPr>
          <w:rFonts w:hint="eastAsia" w:ascii="仿宋" w:hAnsi="仿宋" w:eastAsia="仿宋" w:cs="仿宋"/>
        </w:rPr>
        <w:t>经过多年的深耕，公司的现代煤化工业务已形成以PVC为核心的“煤—煤矸石发电—电石—离子膜烧碱、聚氯乙烯（PVC）—合成新材料—工业废渣综合利用生产水泥”的氯碱产业和以煤基多联产乙二醇、甲醇、肥料、合成氨为核心的聚酯产业循环经济经营模式。</w:t>
      </w:r>
    </w:p>
    <w:p>
      <w:pPr>
        <w:bidi w:val="0"/>
        <w:rPr>
          <w:rFonts w:hint="eastAsia" w:ascii="仿宋" w:hAnsi="仿宋" w:eastAsia="仿宋" w:cs="仿宋"/>
          <w:lang w:eastAsia="zh-CN"/>
        </w:rPr>
      </w:pPr>
      <w:r>
        <w:rPr>
          <w:rFonts w:hint="eastAsia" w:ascii="仿宋" w:hAnsi="仿宋" w:eastAsia="仿宋" w:cs="仿宋"/>
        </w:rPr>
        <w:t>公司根据产业总体规划以及产品市场情况实行一体化、规模化生产，动态化备货和平衡生产。达拉特园区达拉特分公司生产的电石为生产PVC的原料，PVC及烧碱的生产活动主要由亿利化学本部下设的PVC厂、烧碱厂、乙炔厂、热动厂等部门分别开展；库布其园区亿鼎公司为鑫润公司上游供气企业，主要为鑫润公司生产乙二醇、甲醇提供一氧化碳、氢气及其他原料气体，同时通过装置转化合成氨，生产农业用生物炭基复混肥。</w:t>
      </w:r>
    </w:p>
    <w:p>
      <w:pPr>
        <w:bidi w:val="0"/>
        <w:rPr>
          <w:rFonts w:hint="eastAsia" w:ascii="仿宋" w:hAnsi="仿宋" w:eastAsia="仿宋" w:cs="仿宋"/>
          <w:lang w:val="en-US" w:eastAsia="zh-CN"/>
        </w:rPr>
      </w:pPr>
      <w:r>
        <w:rPr>
          <w:rFonts w:hint="eastAsia" w:ascii="仿宋" w:hAnsi="仿宋" w:eastAsia="仿宋" w:cs="仿宋"/>
          <w:lang w:val="en-US" w:eastAsia="zh-CN"/>
        </w:rPr>
        <w:t>在光氢新能源产业方面，</w:t>
      </w:r>
      <w:r>
        <w:rPr>
          <w:rFonts w:hint="eastAsia" w:ascii="仿宋" w:hAnsi="仿宋" w:eastAsia="仿宋" w:cs="仿宋"/>
        </w:rPr>
        <w:t>公司创新“板上双面发电、板下双层生态、板间低碳产业”的立体生态光伏治沙模式，通过建设光伏电站同步发展储能、绿氢、绿色化工等，打造以光伏为主的源网荷储一体化、多能互补能源基地，优化资源配置，实现经济效益；光伏板建设、板下种植可有效防治沙丘移动、治沙改土，创造绿色生态效益。公司拥有大规模电解制氢、煤制氢装置，具有丰富的生产、技术和管理经验，公司目前为工业制氢，同步探索光伏+制氢系统设计与改造，利用自身优势协同发展光伏制氢、循环经济产业链绿氢替代工业制氢。</w:t>
      </w:r>
    </w:p>
    <w:p>
      <w:pPr>
        <w:bidi w:val="0"/>
        <w:rPr>
          <w:rFonts w:hint="eastAsia" w:ascii="仿宋" w:hAnsi="仿宋" w:eastAsia="仿宋" w:cs="仿宋"/>
        </w:rPr>
      </w:pPr>
      <w:r>
        <w:rPr>
          <w:rFonts w:hint="eastAsia" w:ascii="仿宋" w:hAnsi="仿宋" w:eastAsia="仿宋" w:cs="仿宋"/>
          <w:lang w:val="en-US" w:eastAsia="zh-CN"/>
        </w:rPr>
        <w:t>在清洁热力产业方面，</w:t>
      </w:r>
      <w:r>
        <w:rPr>
          <w:rFonts w:hint="eastAsia" w:ascii="仿宋" w:hAnsi="仿宋" w:eastAsia="仿宋" w:cs="仿宋"/>
        </w:rPr>
        <w:t>洁能科技致力于高效清洁热力投资与运营，通过投资新建、收购兼并、产融结合、强化技术革新和团队建设，巩固核心竞争力，快速推进清洁热力项目。公司通过与地方政府或工业园区、社区签订独家经营或者其他类似排他性协议，获得20-30年的能源及热力特许经营权。目前，公司已有的清洁热力项目主要是自建、自营的BOO或并购取得。</w:t>
      </w:r>
    </w:p>
    <w:p>
      <w:pPr>
        <w:bidi w:val="0"/>
        <w:rPr>
          <w:rFonts w:hint="eastAsia" w:ascii="仿宋" w:hAnsi="仿宋" w:eastAsia="仿宋" w:cs="仿宋"/>
          <w:lang w:val="en-US" w:eastAsia="zh-CN"/>
        </w:rPr>
      </w:pPr>
      <w:r>
        <w:rPr>
          <w:rFonts w:hint="eastAsia" w:ascii="仿宋" w:hAnsi="仿宋" w:eastAsia="仿宋" w:cs="仿宋"/>
          <w:lang w:val="en-US" w:eastAsia="zh-CN"/>
        </w:rPr>
        <w:t>在</w:t>
      </w:r>
      <w:r>
        <w:rPr>
          <w:rFonts w:hint="eastAsia" w:ascii="仿宋" w:hAnsi="仿宋" w:eastAsia="仿宋" w:cs="仿宋"/>
        </w:rPr>
        <w:t>新能源装备制造</w:t>
      </w:r>
      <w:r>
        <w:rPr>
          <w:rFonts w:hint="eastAsia" w:ascii="仿宋" w:hAnsi="仿宋" w:eastAsia="仿宋" w:cs="仿宋"/>
          <w:lang w:val="en-US" w:eastAsia="zh-CN"/>
        </w:rPr>
        <w:t>产业方面，</w:t>
      </w:r>
      <w:r>
        <w:rPr>
          <w:rFonts w:hint="eastAsia" w:ascii="仿宋" w:hAnsi="仿宋" w:eastAsia="仿宋" w:cs="仿宋"/>
        </w:rPr>
        <w:t>公司立足自身产业结构和产业链特点，积极稳妥布局组件、储能、氢装备等新能源新材料制造产业，延伸产业链长度、补齐产业链短板、加强产业链竞争力，组件、储能产线智能化程度居于国内领先水平，氢装备产线智能制造快速落地，产品稳定性高，氢装备研发和技术迭代紧跟行业先进水平并成功实现技术落地和产业化。</w:t>
      </w:r>
    </w:p>
    <w:p>
      <w:pPr>
        <w:pStyle w:val="3"/>
        <w:keepNext w:val="0"/>
        <w:keepLines w:val="0"/>
        <w:widowControl/>
        <w:tabs>
          <w:tab w:val="left" w:pos="0"/>
        </w:tabs>
        <w:adjustRightInd w:val="0"/>
        <w:spacing w:before="156" w:beforeLines="50" w:after="156" w:afterLines="50" w:line="276" w:lineRule="auto"/>
        <w:ind w:firstLine="653"/>
        <w:rPr>
          <w:rFonts w:hint="eastAsia"/>
        </w:rPr>
      </w:pPr>
      <w:bookmarkStart w:id="218" w:name="_Toc7251"/>
      <w:bookmarkStart w:id="219" w:name="_Toc15799"/>
      <w:r>
        <w:rPr>
          <w:rFonts w:hint="eastAsia" w:ascii="黑体" w:hAnsi="黑体" w:eastAsia="黑体" w:cs="黑体"/>
          <w:b/>
          <w:bCs/>
          <w:color w:val="auto"/>
          <w:sz w:val="36"/>
          <w:szCs w:val="36"/>
          <w:lang w:val="en-US" w:eastAsia="zh-CN"/>
        </w:rPr>
        <w:t>四</w:t>
      </w:r>
      <w:r>
        <w:rPr>
          <w:rFonts w:hint="eastAsia" w:ascii="黑体" w:hAnsi="黑体" w:eastAsia="黑体" w:cs="黑体"/>
          <w:b/>
          <w:bCs/>
          <w:color w:val="auto"/>
          <w:sz w:val="36"/>
          <w:szCs w:val="36"/>
        </w:rPr>
        <w:t>、</w:t>
      </w:r>
      <w:r>
        <w:rPr>
          <w:rFonts w:hint="eastAsia" w:ascii="黑体" w:hAnsi="黑体" w:eastAsia="黑体" w:cs="黑体"/>
          <w:b/>
          <w:bCs/>
          <w:color w:val="auto"/>
          <w:sz w:val="36"/>
          <w:szCs w:val="36"/>
          <w:lang w:val="en-US" w:eastAsia="zh-CN"/>
        </w:rPr>
        <w:t>销售</w:t>
      </w:r>
      <w:r>
        <w:rPr>
          <w:rFonts w:hint="eastAsia" w:ascii="黑体" w:hAnsi="黑体" w:eastAsia="黑体" w:cs="黑体"/>
          <w:b/>
          <w:bCs/>
          <w:color w:val="auto"/>
          <w:sz w:val="36"/>
          <w:szCs w:val="36"/>
        </w:rPr>
        <w:t>模式</w:t>
      </w:r>
      <w:bookmarkEnd w:id="218"/>
      <w:bookmarkEnd w:id="219"/>
    </w:p>
    <w:p>
      <w:pPr>
        <w:bidi w:val="0"/>
        <w:rPr>
          <w:rFonts w:hint="eastAsia"/>
          <w:lang w:val="en-US" w:eastAsia="zh-CN"/>
        </w:rPr>
      </w:pPr>
      <w:bookmarkStart w:id="220" w:name="_Toc10648"/>
      <w:r>
        <w:rPr>
          <w:rFonts w:hint="eastAsia"/>
          <w:lang w:val="en-US" w:eastAsia="zh-CN"/>
        </w:rPr>
        <w:t>在现代煤化工产业方面，</w:t>
      </w:r>
      <w:r>
        <w:rPr>
          <w:rFonts w:hint="eastAsia"/>
        </w:rPr>
        <w:t>公司销售各类化工产品主要采用直销加分销的方式。直销以大客户为依托，与其达成战略合作共识，稳定销售量；分销对象主要为中小客户，主要筛选信誉高、有潜力的用户建立稳定关系，保证合理的销售利润。公司通过循环产业链的传导作用及技术改造，科学优化排产，合理调整检修周期，进一步提高产量和产品质量，降低单位固定成本，提升公司整体盈利能力。</w:t>
      </w:r>
    </w:p>
    <w:p>
      <w:pPr>
        <w:bidi w:val="0"/>
        <w:rPr>
          <w:rFonts w:hint="eastAsia"/>
        </w:rPr>
      </w:pPr>
    </w:p>
    <w:p>
      <w:pPr>
        <w:rPr>
          <w:rFonts w:hint="eastAsia"/>
        </w:rPr>
        <w:sectPr>
          <w:pgSz w:w="11906" w:h="16838"/>
          <w:pgMar w:top="1440" w:right="1800" w:bottom="1440" w:left="1800" w:header="851" w:footer="992" w:gutter="0"/>
          <w:cols w:space="425" w:num="1"/>
          <w:docGrid w:type="lines" w:linePitch="312" w:charSpace="0"/>
        </w:sectPr>
      </w:pPr>
    </w:p>
    <w:p>
      <w:pPr>
        <w:pStyle w:val="2"/>
        <w:keepNext w:val="0"/>
        <w:keepLines w:val="0"/>
        <w:widowControl/>
        <w:tabs>
          <w:tab w:val="left" w:pos="0"/>
        </w:tabs>
        <w:adjustRightInd w:val="0"/>
        <w:spacing w:before="156" w:beforeLines="50" w:after="156" w:afterLines="50" w:line="360" w:lineRule="auto"/>
        <w:jc w:val="center"/>
        <w:rPr>
          <w:rFonts w:ascii="黑体" w:hAnsi="黑体" w:eastAsia="黑体" w:cs="方正小标宋"/>
          <w:b/>
          <w:bCs/>
          <w:color w:val="auto"/>
          <w:sz w:val="44"/>
          <w:szCs w:val="44"/>
        </w:rPr>
      </w:pPr>
      <w:bookmarkStart w:id="221" w:name="_Toc5178"/>
      <w:r>
        <w:rPr>
          <w:rFonts w:hint="eastAsia" w:ascii="黑体" w:hAnsi="黑体" w:eastAsia="黑体" w:cs="方正小标宋"/>
          <w:b/>
          <w:bCs/>
          <w:color w:val="auto"/>
          <w:sz w:val="44"/>
          <w:szCs w:val="44"/>
        </w:rPr>
        <w:t>第三章、</w:t>
      </w:r>
      <w:r>
        <w:rPr>
          <w:rFonts w:ascii="黑体" w:hAnsi="黑体" w:eastAsia="黑体" w:cs="方正小标宋"/>
          <w:b/>
          <w:bCs/>
          <w:color w:val="auto"/>
          <w:sz w:val="44"/>
          <w:szCs w:val="44"/>
        </w:rPr>
        <w:t>行业分析</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20"/>
      <w:bookmarkEnd w:id="221"/>
    </w:p>
    <w:p>
      <w:pPr>
        <w:pStyle w:val="3"/>
        <w:keepNext w:val="0"/>
        <w:keepLines w:val="0"/>
        <w:widowControl/>
        <w:tabs>
          <w:tab w:val="left" w:pos="0"/>
        </w:tabs>
        <w:adjustRightInd w:val="0"/>
        <w:spacing w:before="156" w:beforeLines="50" w:after="156" w:afterLines="50" w:line="276" w:lineRule="auto"/>
        <w:ind w:firstLine="653"/>
        <w:rPr>
          <w:rFonts w:hint="eastAsia"/>
        </w:rPr>
      </w:pPr>
      <w:bookmarkStart w:id="222" w:name="_Toc161842918"/>
      <w:bookmarkStart w:id="223" w:name="_Toc168082480"/>
      <w:bookmarkStart w:id="224" w:name="_Toc168770887"/>
      <w:bookmarkStart w:id="225" w:name="_Toc162555959"/>
      <w:bookmarkStart w:id="226" w:name="_Toc166878911"/>
      <w:bookmarkStart w:id="227" w:name="_Toc167560433"/>
      <w:bookmarkStart w:id="228" w:name="_Toc160525369"/>
      <w:bookmarkStart w:id="229" w:name="_Toc12432"/>
      <w:bookmarkStart w:id="230" w:name="_Toc165950671"/>
      <w:bookmarkStart w:id="231" w:name="_Toc161538499"/>
      <w:bookmarkStart w:id="232" w:name="_Toc163034556"/>
      <w:bookmarkStart w:id="233" w:name="_Toc161605249"/>
      <w:bookmarkStart w:id="234" w:name="_Toc160331822"/>
      <w:bookmarkStart w:id="235" w:name="_Toc16827"/>
      <w:bookmarkStart w:id="236" w:name="_Toc164442367"/>
      <w:bookmarkStart w:id="237" w:name="_Toc164980157"/>
      <w:r>
        <w:rPr>
          <w:rFonts w:hint="eastAsia" w:ascii="黑体" w:hAnsi="黑体" w:eastAsia="黑体" w:cs="黑体"/>
          <w:b/>
          <w:bCs/>
          <w:color w:val="auto"/>
          <w:sz w:val="36"/>
          <w:szCs w:val="36"/>
        </w:rPr>
        <w:t>一、政策背景</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Start w:id="238" w:name="_Toc165950672"/>
      <w:bookmarkStart w:id="239" w:name="_Toc168770888"/>
      <w:bookmarkStart w:id="240" w:name="_Toc166878912"/>
      <w:bookmarkStart w:id="241" w:name="_Toc168082481"/>
      <w:bookmarkStart w:id="242" w:name="_Toc164980160"/>
      <w:bookmarkStart w:id="243" w:name="_Toc160331823"/>
      <w:bookmarkStart w:id="244" w:name="_Toc163034559"/>
      <w:bookmarkStart w:id="245" w:name="_Toc161605250"/>
      <w:bookmarkStart w:id="246" w:name="_Toc161538500"/>
      <w:bookmarkStart w:id="247" w:name="_Toc162555960"/>
      <w:bookmarkStart w:id="248" w:name="_Toc161842919"/>
      <w:bookmarkStart w:id="249" w:name="_Toc160525373"/>
      <w:bookmarkStart w:id="250" w:name="_Toc164442370"/>
      <w:bookmarkStart w:id="251" w:name="_Toc167560434"/>
    </w:p>
    <w:p>
      <w:pPr>
        <w:ind w:firstLine="560"/>
        <w:rPr>
          <w:rFonts w:ascii="仿宋" w:hAnsi="仿宋"/>
          <w:shd w:val="clear" w:color="auto" w:fill="FFFFFF"/>
        </w:rPr>
      </w:pPr>
      <w:bookmarkStart w:id="252" w:name="_Toc30449"/>
      <w:r>
        <w:rPr>
          <w:rFonts w:ascii="仿宋" w:hAnsi="仿宋"/>
          <w:shd w:val="clear" w:color="auto" w:fill="FFFFFF"/>
        </w:rPr>
        <w:t>20世纪90年代以来，由于中国在市场经济方面的进一步推进，在广泛引进国际上有关化工技术与产品开发理论基础上，中国的化工材料研究也取得了很大的进步。“十二五”时期，我国IT行业，尤其是消费类电子行业发展迅速，推动电子化学品原材料需求增长</w:t>
      </w:r>
      <w:r>
        <w:rPr>
          <w:rFonts w:hint="eastAsia" w:ascii="仿宋" w:hAnsi="仿宋"/>
          <w:shd w:val="clear" w:color="auto" w:fill="FFFFFF"/>
          <w:lang w:eastAsia="zh-CN"/>
        </w:rPr>
        <w:t>；</w:t>
      </w:r>
      <w:r>
        <w:rPr>
          <w:rFonts w:ascii="仿宋" w:hAnsi="仿宋"/>
          <w:shd w:val="clear" w:color="auto" w:fill="FFFFFF"/>
        </w:rPr>
        <w:t>“十三五”时期，我国化工新材料着重于空白品种产业化进程发展，提高行业自给率</w:t>
      </w:r>
      <w:r>
        <w:rPr>
          <w:rFonts w:hint="eastAsia" w:ascii="仿宋" w:hAnsi="仿宋"/>
          <w:shd w:val="clear" w:color="auto" w:fill="FFFFFF"/>
          <w:lang w:eastAsia="zh-CN"/>
        </w:rPr>
        <w:t>；</w:t>
      </w:r>
      <w:r>
        <w:rPr>
          <w:rFonts w:ascii="仿宋" w:hAnsi="仿宋"/>
          <w:shd w:val="clear" w:color="auto" w:fill="FFFFFF"/>
        </w:rPr>
        <w:t>经过几十年的发展，中国化工新材料研究开发取得了多项突破性的研究成果，“十四五”时期，在政策推动下，化工新材料行业进入高质量发展阶段。</w:t>
      </w:r>
    </w:p>
    <w:p>
      <w:pPr>
        <w:ind w:firstLine="576"/>
        <w:rPr>
          <w:rFonts w:ascii="仿宋" w:hAnsi="仿宋"/>
          <w:color w:val="333333"/>
          <w:spacing w:val="8"/>
          <w:shd w:val="clear" w:color="auto" w:fill="FFFFFF"/>
        </w:rPr>
      </w:pPr>
      <w:r>
        <w:rPr>
          <w:rFonts w:ascii="仿宋" w:hAnsi="仿宋"/>
          <w:color w:val="333333"/>
          <w:spacing w:val="8"/>
          <w:shd w:val="clear" w:color="auto" w:fill="FFFFFF"/>
        </w:rPr>
        <w:t>化工新材料作为基础性和支柱性战略产业，是高新技术的先导。我国于2019年2021年分别发布两版《重点新材料首批次应用示范指导目录》大力扶持产业发展。</w:t>
      </w:r>
    </w:p>
    <w:p>
      <w:pPr>
        <w:ind w:firstLine="576"/>
        <w:rPr>
          <w:rFonts w:hint="eastAsia" w:ascii="仿宋" w:hAnsi="仿宋"/>
          <w:color w:val="333333"/>
          <w:spacing w:val="8"/>
          <w:shd w:val="clear" w:color="auto" w:fill="FFFFFF"/>
        </w:rPr>
      </w:pPr>
      <w:r>
        <w:rPr>
          <w:rFonts w:ascii="仿宋" w:hAnsi="仿宋"/>
          <w:color w:val="333333"/>
          <w:spacing w:val="8"/>
          <w:shd w:val="clear" w:color="auto" w:fill="FFFFFF"/>
        </w:rPr>
        <w:t>为促进新材料产业发展更上一层楼，相关政策频频加码。从发布《“十三五”国家战略性新兴产业发展规划》明确加快新材料等战略新兴产业发展，到成立国家新材料产业发展领导小组</w:t>
      </w:r>
      <w:r>
        <w:rPr>
          <w:rFonts w:hint="eastAsia" w:ascii="仿宋" w:hAnsi="仿宋"/>
          <w:color w:val="333333"/>
          <w:spacing w:val="8"/>
          <w:shd w:val="clear" w:color="auto" w:fill="FFFFFF"/>
        </w:rPr>
        <w:t>；</w:t>
      </w:r>
      <w:r>
        <w:rPr>
          <w:rFonts w:ascii="仿宋" w:hAnsi="仿宋"/>
          <w:color w:val="333333"/>
          <w:spacing w:val="8"/>
          <w:shd w:val="clear" w:color="auto" w:fill="FFFFFF"/>
        </w:rPr>
        <w:t>从发布《新材料产业发展指南》到为中国制造2025增添百亿专项基金，不断在政策上为新材料产业提供支持</w:t>
      </w:r>
      <w:r>
        <w:rPr>
          <w:rFonts w:hint="eastAsia" w:ascii="仿宋" w:hAnsi="仿宋"/>
          <w:color w:val="333333"/>
          <w:spacing w:val="8"/>
          <w:shd w:val="clear" w:color="auto" w:fill="FFFFFF"/>
        </w:rPr>
        <w:t>，2016年以来化工产业主要政策见下所示</w:t>
      </w:r>
      <w:r>
        <w:rPr>
          <w:rFonts w:ascii="仿宋" w:hAnsi="仿宋"/>
          <w:color w:val="333333"/>
          <w:spacing w:val="8"/>
          <w:shd w:val="clear" w:color="auto" w:fill="FFFFFF"/>
        </w:rPr>
        <w:t>。</w:t>
      </w:r>
    </w:p>
    <w:p>
      <w:pPr>
        <w:spacing w:line="480" w:lineRule="auto"/>
        <w:ind w:firstLine="0" w:firstLineChars="0"/>
        <w:jc w:val="center"/>
        <w:rPr>
          <w:rFonts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表6  2016年以来化工产业主要政策统计</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11"/>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cPr>
          <w:p>
            <w:pPr>
              <w:tabs>
                <w:tab w:val="clear" w:pos="0"/>
              </w:tabs>
              <w:adjustRightInd/>
              <w:ind w:firstLine="0" w:firstLineChars="0"/>
              <w:jc w:val="center"/>
              <w:rPr>
                <w:rFonts w:ascii="仿宋" w:hAnsi="仿宋" w:cs="宋体"/>
                <w:b/>
                <w:bCs/>
                <w:color w:val="000000"/>
                <w:kern w:val="0"/>
                <w:sz w:val="16"/>
                <w:szCs w:val="16"/>
              </w:rPr>
            </w:pPr>
            <w:r>
              <w:rPr>
                <w:rFonts w:hint="eastAsia" w:ascii="仿宋" w:hAnsi="仿宋" w:cs="宋体"/>
                <w:b/>
                <w:bCs/>
                <w:color w:val="000000"/>
                <w:kern w:val="0"/>
                <w:sz w:val="16"/>
                <w:szCs w:val="16"/>
              </w:rPr>
              <w:t>发布时间</w:t>
            </w:r>
          </w:p>
        </w:tc>
        <w:tc>
          <w:tcPr>
            <w:tcW w:w="0" w:type="auto"/>
            <w:shd w:val="clear" w:color="auto" w:fill="E7E6E6"/>
          </w:tcPr>
          <w:p>
            <w:pPr>
              <w:tabs>
                <w:tab w:val="clear" w:pos="0"/>
              </w:tabs>
              <w:adjustRightInd/>
              <w:ind w:firstLine="0" w:firstLineChars="0"/>
              <w:jc w:val="center"/>
              <w:rPr>
                <w:rFonts w:ascii="仿宋" w:hAnsi="仿宋" w:cs="宋体"/>
                <w:b/>
                <w:bCs/>
                <w:color w:val="000000"/>
                <w:kern w:val="0"/>
                <w:sz w:val="16"/>
                <w:szCs w:val="16"/>
              </w:rPr>
            </w:pPr>
            <w:r>
              <w:rPr>
                <w:rFonts w:hint="eastAsia" w:ascii="仿宋" w:hAnsi="仿宋" w:cs="宋体"/>
                <w:b/>
                <w:bCs/>
                <w:color w:val="000000"/>
                <w:kern w:val="0"/>
                <w:sz w:val="16"/>
                <w:szCs w:val="16"/>
              </w:rPr>
              <w:t>政策名称</w:t>
            </w:r>
          </w:p>
        </w:tc>
        <w:tc>
          <w:tcPr>
            <w:tcW w:w="0" w:type="auto"/>
            <w:shd w:val="clear" w:color="auto" w:fill="E7E6E6"/>
          </w:tcPr>
          <w:p>
            <w:pPr>
              <w:tabs>
                <w:tab w:val="clear" w:pos="0"/>
              </w:tabs>
              <w:adjustRightInd/>
              <w:ind w:firstLine="0" w:firstLineChars="0"/>
              <w:jc w:val="center"/>
              <w:rPr>
                <w:rFonts w:ascii="仿宋" w:hAnsi="仿宋" w:cs="宋体"/>
                <w:b/>
                <w:bCs/>
                <w:color w:val="000000"/>
                <w:kern w:val="0"/>
                <w:sz w:val="16"/>
                <w:szCs w:val="16"/>
              </w:rPr>
            </w:pPr>
            <w:r>
              <w:rPr>
                <w:rFonts w:hint="eastAsia" w:ascii="仿宋" w:hAnsi="仿宋" w:cs="宋体"/>
                <w:b/>
                <w:bCs/>
                <w:color w:val="000000"/>
                <w:kern w:val="0"/>
                <w:sz w:val="16"/>
                <w:szCs w:val="16"/>
              </w:rPr>
              <w:t>重点内容解读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2023.02</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《质量强国建设纲要》</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强化企业创新主体地位，引导企业加大质量技术创新投入，推动新技术、新工艺、新材料应用，促进品种开发和品质升级。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2022.12</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《扩大内需战略规划纲要</w:t>
            </w:r>
            <w:r>
              <w:rPr>
                <w:rFonts w:ascii="仿宋" w:hAnsi="仿宋" w:cs="宋体"/>
                <w:color w:val="000000"/>
                <w:kern w:val="0"/>
                <w:sz w:val="16"/>
                <w:szCs w:val="16"/>
              </w:rPr>
              <w:t>(2022-2035年)》</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推进前沿新材料研发应用。促进重大装备工程应用和产业化发展，加快大飞机、航空发动机和机载设备等研发，推进卫星及应用基础设施建设。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2022.09</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《关于深化电子电器行业管理制度改革的意见》</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结合基础电子产品发展实际，动态调整重点新材料首批次应用示范指导目录、首台</w:t>
            </w:r>
            <w:r>
              <w:rPr>
                <w:rFonts w:ascii="仿宋" w:hAnsi="仿宋" w:cs="宋体"/>
                <w:color w:val="000000"/>
                <w:kern w:val="0"/>
                <w:sz w:val="16"/>
                <w:szCs w:val="16"/>
              </w:rPr>
              <w:t>(套)重大技术装备推广应用指导目录，加大对基础电子产品的支持力度。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2021.12</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《重点新材料首批次应用示范指导目录</w:t>
            </w:r>
            <w:r>
              <w:rPr>
                <w:rFonts w:ascii="仿宋" w:hAnsi="仿宋" w:cs="宋体"/>
                <w:color w:val="000000"/>
                <w:kern w:val="0"/>
                <w:sz w:val="16"/>
                <w:szCs w:val="16"/>
              </w:rPr>
              <w:t>(2021年版)》</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为进一步做好重点新材料首批次应用保险补偿试点工作，发布《重点新材料首批次应用示范指导目录</w:t>
            </w:r>
            <w:r>
              <w:rPr>
                <w:rFonts w:ascii="仿宋" w:hAnsi="仿宋" w:cs="宋体"/>
                <w:color w:val="000000"/>
                <w:kern w:val="0"/>
                <w:sz w:val="16"/>
                <w:szCs w:val="16"/>
              </w:rPr>
              <w:t>(2021年版)》自2022年1月1日起施行。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2020.09</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《关于扩大战略性新兴产业投资培育壮大新增长点增长极的指导意见》</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加快新材料产业强弱项。围绕保障大飞机、微电子制造、深海采矿等重点领域产业链供应链稳定，加快在光刻胶、高纯靶材、高温合金、高性能纤维材料、高强高导耐热材料、耐腐蚀材料、大尺寸硅片、电子封装材料等领域实现突破。实施新材料创新发展行动计划，提升稀土、钒钛、钨钼、锂铷铯、石墨等特色资源在开采、冶炼、深加工等环节的技术水平，加快拓展石墨烯、纳米材料等在光电子、航空装备新能源、生物医药等领域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2020.03</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《加强</w:t>
            </w:r>
            <w:r>
              <w:rPr>
                <w:rFonts w:ascii="仿宋" w:hAnsi="仿宋" w:cs="宋体"/>
                <w:color w:val="000000"/>
                <w:kern w:val="0"/>
                <w:sz w:val="16"/>
                <w:szCs w:val="16"/>
              </w:rPr>
              <w:t>"从0到1"基础研究工作方案》</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提出重点支持人工智能、网络协同制造、</w:t>
            </w:r>
            <w:r>
              <w:rPr>
                <w:rFonts w:ascii="仿宋" w:hAnsi="仿宋" w:cs="宋体"/>
                <w:color w:val="000000"/>
                <w:kern w:val="0"/>
                <w:sz w:val="16"/>
                <w:szCs w:val="16"/>
              </w:rPr>
              <w:t>3D打印和激光制造、重点基础材料、先进电子材料、结构与功能材料、制造技术与关键部件、云计算和大数据、高性能计算、宽带通信和新型网络、地球观测与导航、光电子器件及集成、生物育种、高端医疗器械、集成电路和微波器件、重大科学仪器设备等重大领域，推动关键核心技术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2019.12</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《重点新材料首批应用示范指导目录</w:t>
            </w:r>
            <w:r>
              <w:rPr>
                <w:rFonts w:ascii="仿宋" w:hAnsi="仿宋" w:cs="宋体"/>
                <w:color w:val="000000"/>
                <w:kern w:val="0"/>
                <w:sz w:val="16"/>
                <w:szCs w:val="16"/>
              </w:rPr>
              <w:t>(2019版)》</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具体列入</w:t>
            </w:r>
            <w:r>
              <w:rPr>
                <w:rFonts w:ascii="仿宋" w:hAnsi="仿宋" w:cs="宋体"/>
                <w:color w:val="000000"/>
                <w:kern w:val="0"/>
                <w:sz w:val="16"/>
                <w:szCs w:val="16"/>
              </w:rPr>
              <w:t>"指导目录“的重点新材料涵盖先进基础材料、关键战略材料、前沿新材料三大领域国家重点关注的材料。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2019.03</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《科创板企业上市推荐指引》</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优先推荐属于新一代信息技术、高端装备、新材料、新能源、节能环保以及生物医药等高新技术产业和战略性新兴产业的科技创新企业。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2018.04</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《国家新材料产业资源共享平台建设方案》</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到</w:t>
            </w:r>
            <w:r>
              <w:rPr>
                <w:rFonts w:ascii="仿宋" w:hAnsi="仿宋" w:cs="宋体"/>
                <w:color w:val="000000"/>
                <w:kern w:val="0"/>
                <w:sz w:val="16"/>
                <w:szCs w:val="16"/>
              </w:rPr>
              <w:t>2025年，新材料产业资源共享服务生态体系更加完善平台集聚资源总量和覆盖领域、共享开放程度、业务范围和服务能力进一步提升。平台网络体系和线下基础设施条件更加完备。新材料产业资源共享能力整体达到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2017.12</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《国家新材料生产应用示范平台建设方案》</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国家新材料生产应用示范平台以新材料生产企业和应用企业为主联合组建，吸收产业链相关单位，衔接已有国家科技创新基地，打破技术与行业壁垒，实现新材料与终端产品协同联动。围绕《新材料产业发展指南》明确的十大重点，到</w:t>
            </w:r>
            <w:r>
              <w:rPr>
                <w:rFonts w:ascii="仿宋" w:hAnsi="仿宋" w:cs="宋体"/>
                <w:color w:val="000000"/>
                <w:kern w:val="0"/>
                <w:sz w:val="16"/>
                <w:szCs w:val="16"/>
              </w:rPr>
              <w:t>2020年在关键领域建立20家左右，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2017.01</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《新材料产业发展指南》</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2020年，新材料产业规模化、集聚化发展态势基本形成突破金属材料、复合材料、先进半导体材料等领域技术装备制约，在碳纤维复合材料、高品质特殊钢、先进轻合金材料等领域实现70种以上重点新材料产业化及应用，建成与我国新材料产业发展水平相匹配的工艺装备保障体系。建成较为完善的新材料标准体系,形成具有一批有国际影响力的新材料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ascii="仿宋" w:hAnsi="仿宋" w:cs="宋体"/>
                <w:color w:val="000000"/>
                <w:kern w:val="0"/>
                <w:sz w:val="16"/>
                <w:szCs w:val="16"/>
              </w:rPr>
              <w:t>2016.04</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《关于加快新材料产业创新发展的指导意见》</w:t>
            </w:r>
          </w:p>
        </w:tc>
        <w:tc>
          <w:tcPr>
            <w:tcW w:w="0" w:type="auto"/>
            <w:shd w:val="clear" w:color="auto" w:fill="auto"/>
          </w:tcPr>
          <w:p>
            <w:pPr>
              <w:tabs>
                <w:tab w:val="clear" w:pos="0"/>
              </w:tabs>
              <w:adjustRightInd/>
              <w:ind w:firstLine="0" w:firstLineChars="0"/>
              <w:rPr>
                <w:rFonts w:ascii="仿宋" w:hAnsi="仿宋" w:cs="宋体"/>
                <w:color w:val="000000"/>
                <w:kern w:val="0"/>
                <w:sz w:val="16"/>
                <w:szCs w:val="16"/>
              </w:rPr>
            </w:pPr>
            <w:r>
              <w:rPr>
                <w:rFonts w:hint="eastAsia" w:ascii="仿宋" w:hAnsi="仿宋" w:cs="宋体"/>
                <w:color w:val="000000"/>
                <w:kern w:val="0"/>
                <w:sz w:val="16"/>
                <w:szCs w:val="16"/>
              </w:rPr>
              <w:t>对于新材料产业发展瓶颈，《意见》提出了具体解决措施</w:t>
            </w:r>
            <w:r>
              <w:rPr>
                <w:rFonts w:hint="eastAsia" w:ascii="仿宋" w:hAnsi="仿宋" w:cs="宋体"/>
                <w:color w:val="000000"/>
                <w:kern w:val="0"/>
                <w:sz w:val="16"/>
                <w:szCs w:val="16"/>
                <w:lang w:eastAsia="zh-CN"/>
              </w:rPr>
              <w:t>：</w:t>
            </w:r>
            <w:r>
              <w:rPr>
                <w:rFonts w:ascii="仿宋" w:hAnsi="仿宋" w:cs="宋体"/>
                <w:color w:val="000000"/>
                <w:kern w:val="0"/>
                <w:sz w:val="16"/>
                <w:szCs w:val="16"/>
              </w:rPr>
              <w:t>一是完善新材料产业协同创体系，二是加强重点新材料产品初期市场培育，三是突破关键工艺与专用装备制约，四是促进新材料产业有序集聚发展,五是加强新材料人才培养与创新团队建设，六是加快军民新材料资源双向转移转化。《意见》同时还提出了加强产业统筹协调、完善财税政策、加强金融支持力度等八项政策措施。</w:t>
            </w:r>
          </w:p>
        </w:tc>
      </w:tr>
    </w:tbl>
    <w:p>
      <w:pPr>
        <w:bidi w:val="0"/>
        <w:rPr>
          <w:rFonts w:hint="eastAsia"/>
        </w:rPr>
      </w:pPr>
    </w:p>
    <w:p>
      <w:pPr>
        <w:bidi w:val="0"/>
        <w:rPr>
          <w:rFonts w:hint="eastAsia"/>
        </w:rPr>
        <w:sectPr>
          <w:pgSz w:w="11906" w:h="16838"/>
          <w:pgMar w:top="1440" w:right="1800" w:bottom="1440" w:left="1800" w:header="851" w:footer="992" w:gutter="0"/>
          <w:cols w:space="425" w:num="1"/>
          <w:docGrid w:type="lines" w:linePitch="312" w:charSpace="0"/>
        </w:sectPr>
      </w:pPr>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253" w:name="_Toc19679"/>
      <w:r>
        <w:rPr>
          <w:rFonts w:hint="eastAsia" w:ascii="黑体" w:hAnsi="黑体" w:eastAsia="黑体" w:cs="黑体"/>
          <w:b/>
          <w:bCs/>
          <w:color w:val="auto"/>
          <w:sz w:val="36"/>
          <w:szCs w:val="36"/>
        </w:rPr>
        <w:t>二、行业概况</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4" w:name="_Toc161605251"/>
      <w:bookmarkStart w:id="255" w:name="_Toc161538501"/>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256" w:name="_Toc163034560"/>
      <w:bookmarkStart w:id="257" w:name="_Toc161842920"/>
      <w:bookmarkStart w:id="258" w:name="_Toc164442371"/>
      <w:bookmarkStart w:id="259" w:name="_Toc164980161"/>
      <w:bookmarkStart w:id="260" w:name="_Toc165950673"/>
      <w:bookmarkStart w:id="261" w:name="_Toc166878913"/>
      <w:bookmarkStart w:id="262" w:name="_Toc28973"/>
      <w:bookmarkStart w:id="263" w:name="_Toc164442372"/>
      <w:bookmarkStart w:id="264" w:name="_Toc3864"/>
      <w:bookmarkStart w:id="265" w:name="_Toc168770891"/>
      <w:bookmarkStart w:id="266" w:name="_Toc161842921"/>
      <w:bookmarkStart w:id="267" w:name="_Toc163034561"/>
      <w:r>
        <w:rPr>
          <w:rFonts w:hint="eastAsia" w:ascii="仿宋" w:hAnsi="仿宋" w:eastAsia="仿宋" w:cs="Times New Roman (正文 CS 字体)"/>
          <w:b/>
          <w:bCs/>
          <w:color w:val="auto"/>
          <w:sz w:val="28"/>
          <w:szCs w:val="28"/>
        </w:rPr>
        <w:t>2.1</w:t>
      </w:r>
      <w:bookmarkEnd w:id="256"/>
      <w:bookmarkEnd w:id="257"/>
      <w:r>
        <w:rPr>
          <w:rFonts w:hint="eastAsia" w:ascii="仿宋" w:hAnsi="仿宋" w:eastAsia="仿宋" w:cs="Times New Roman (正文 CS 字体)"/>
          <w:b/>
          <w:bCs/>
          <w:color w:val="auto"/>
          <w:sz w:val="28"/>
          <w:szCs w:val="28"/>
        </w:rPr>
        <w:t>化工产业上下游产业链状况</w:t>
      </w:r>
      <w:bookmarkEnd w:id="258"/>
      <w:bookmarkEnd w:id="259"/>
      <w:bookmarkEnd w:id="260"/>
      <w:bookmarkEnd w:id="261"/>
      <w:bookmarkEnd w:id="262"/>
    </w:p>
    <w:p>
      <w:pPr>
        <w:ind w:firstLine="560"/>
        <w:rPr>
          <w:rFonts w:ascii="仿宋" w:hAnsi="仿宋"/>
          <w:shd w:val="clear" w:color="auto" w:fill="FFFFFF"/>
        </w:rPr>
      </w:pPr>
      <w:r>
        <w:rPr>
          <w:rFonts w:hint="eastAsia" w:ascii="仿宋" w:hAnsi="仿宋"/>
          <w:shd w:val="clear" w:color="auto" w:fill="FFFFFF"/>
        </w:rPr>
        <w:t>精细化工即精细化学工业，是生产精细化学品的工业。精细化工产业链上游包括有机化工原料和无机化工原料；中游精细化学品可分为农药、染料、涂料、颜料、试剂和高纯物质、信息用化学品、食品和饲料添加剂等11个类别；下游广泛应用于农业、食品、医药、纺织、新能源、电子制造等行业。</w:t>
      </w:r>
    </w:p>
    <w:p>
      <w:pPr>
        <w:spacing w:line="360" w:lineRule="auto"/>
        <w:ind w:firstLine="0" w:firstLineChars="0"/>
        <w:jc w:val="center"/>
        <w:rPr>
          <w:rFonts w:ascii="黑体" w:hAnsi="黑体" w:eastAsia="黑体"/>
          <w:sz w:val="24"/>
          <w:szCs w:val="24"/>
        </w:rPr>
      </w:pPr>
      <w:r>
        <w:rPr>
          <w:rFonts w:hint="eastAsia" w:ascii="黑体" w:hAnsi="黑体" w:eastAsia="黑体"/>
          <w:sz w:val="24"/>
          <w:szCs w:val="24"/>
        </w:rPr>
        <w:t>图2</w:t>
      </w:r>
      <w:r>
        <w:rPr>
          <w:rFonts w:hint="eastAsia" w:ascii="黑体" w:hAnsi="黑体" w:eastAsia="黑体"/>
          <w:sz w:val="24"/>
          <w:szCs w:val="24"/>
          <w:lang w:val="en-US" w:eastAsia="zh-CN"/>
        </w:rPr>
        <w:t xml:space="preserve">  </w:t>
      </w:r>
      <w:r>
        <w:rPr>
          <w:rFonts w:hint="eastAsia" w:ascii="黑体" w:hAnsi="黑体" w:eastAsia="黑体"/>
          <w:sz w:val="24"/>
          <w:szCs w:val="24"/>
        </w:rPr>
        <w:t>化工产业链示意图</w:t>
      </w:r>
    </w:p>
    <w:p>
      <w:pPr>
        <w:ind w:firstLine="198" w:firstLineChars="71"/>
        <w:rPr>
          <w:rFonts w:ascii="仿宋" w:hAnsi="仿宋"/>
        </w:rPr>
      </w:pPr>
      <w:r>
        <w:rPr>
          <w:rFonts w:ascii="仿宋" w:hAnsi="仿宋"/>
        </w:rPr>
        <w:drawing>
          <wp:inline distT="0" distB="0" distL="0" distR="0">
            <wp:extent cx="5064125" cy="2318385"/>
            <wp:effectExtent l="0" t="0" r="3175" b="5715"/>
            <wp:docPr id="2270961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96162"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84522" cy="2328051"/>
                    </a:xfrm>
                    <a:prstGeom prst="rect">
                      <a:avLst/>
                    </a:prstGeom>
                    <a:noFill/>
                  </pic:spPr>
                </pic:pic>
              </a:graphicData>
            </a:graphic>
          </wp:inline>
        </w:drawing>
      </w:r>
    </w:p>
    <w:p>
      <w:pPr>
        <w:wordWrap w:val="0"/>
        <w:ind w:firstLine="400"/>
        <w:jc w:val="right"/>
        <w:rPr>
          <w:sz w:val="20"/>
          <w:szCs w:val="20"/>
        </w:rPr>
      </w:pPr>
      <w:r>
        <w:rPr>
          <w:sz w:val="20"/>
          <w:szCs w:val="20"/>
        </w:rPr>
        <w:t>数据来源：</w:t>
      </w:r>
      <w:r>
        <w:rPr>
          <w:rFonts w:hint="eastAsia"/>
          <w:sz w:val="20"/>
          <w:szCs w:val="20"/>
        </w:rPr>
        <w:t>中商情报网</w:t>
      </w:r>
    </w:p>
    <w:p>
      <w:pPr>
        <w:bidi w:val="0"/>
        <w:rPr>
          <w:rFonts w:ascii="仿宋" w:hAnsi="仿宋"/>
        </w:rPr>
      </w:pPr>
      <w:r>
        <w:rPr>
          <w:rFonts w:hint="eastAsia" w:ascii="仿宋" w:hAnsi="仿宋"/>
          <w:lang w:val="en-US" w:eastAsia="zh-CN"/>
        </w:rPr>
        <w:t>亿利洁能</w:t>
      </w:r>
      <w:r>
        <w:rPr>
          <w:rFonts w:hint="eastAsia" w:ascii="仿宋" w:hAnsi="仿宋"/>
        </w:rPr>
        <w:t>的化工产业链包括上游、中游的工艺流程，产品主要为烧碱、PVC、</w:t>
      </w:r>
      <w:r>
        <w:rPr>
          <w:rFonts w:hint="eastAsia" w:ascii="仿宋" w:hAnsi="仿宋" w:eastAsia="仿宋" w:cs="仿宋"/>
        </w:rPr>
        <w:t>乙二醇、合成氨、复混肥</w:t>
      </w:r>
      <w:r>
        <w:rPr>
          <w:rFonts w:hint="eastAsia" w:ascii="仿宋" w:hAnsi="仿宋"/>
        </w:rPr>
        <w:t>为代表的化工产品。</w:t>
      </w:r>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268" w:name="_Toc166878914"/>
      <w:bookmarkStart w:id="269" w:name="_Toc165950674"/>
      <w:bookmarkStart w:id="270" w:name="_Toc28928"/>
      <w:r>
        <w:rPr>
          <w:rFonts w:hint="eastAsia" w:ascii="仿宋" w:hAnsi="仿宋" w:eastAsia="仿宋" w:cs="Times New Roman (正文 CS 字体)"/>
          <w:b/>
          <w:bCs/>
          <w:color w:val="auto"/>
          <w:sz w:val="28"/>
          <w:szCs w:val="28"/>
        </w:rPr>
        <w:t>2.2化工产业市场形势分析</w:t>
      </w:r>
      <w:bookmarkEnd w:id="268"/>
      <w:bookmarkEnd w:id="269"/>
      <w:bookmarkEnd w:id="270"/>
    </w:p>
    <w:p>
      <w:pPr>
        <w:ind w:firstLine="560"/>
        <w:rPr>
          <w:rFonts w:ascii="仿宋" w:hAnsi="仿宋"/>
        </w:rPr>
      </w:pPr>
      <w:r>
        <w:rPr>
          <w:rFonts w:hint="eastAsia" w:ascii="仿宋" w:hAnsi="仿宋"/>
        </w:rPr>
        <w:t>基础化工产品主要包括纯碱、聚氯乙烯树脂、糊树脂、烧碱、氯化钠等产品，分别在产能、需求结构和价格走势方面，具备以下特征。</w:t>
      </w:r>
    </w:p>
    <w:p>
      <w:pPr>
        <w:ind w:firstLine="560"/>
        <w:rPr>
          <w:rFonts w:ascii="仿宋" w:hAnsi="仿宋"/>
        </w:rPr>
      </w:pPr>
      <w:r>
        <w:rPr>
          <w:rFonts w:hint="eastAsia" w:ascii="仿宋" w:hAnsi="仿宋"/>
        </w:rPr>
        <w:t>在产能方面，2023年国内纯碱产能约3,658万吨，其中100万吨以上（含）生产企业共13家，年产能约2,670万吨，占总产能70.26%。纯碱行业整体开工水平保持在80%-85%之间。青海、内蒙古、河南、江苏、山东、河北是国内主要的纯碱生产地，产品广泛分布在化工、玻璃、氧化铝、冶金、石油、医药、纺织工业、味精等行业。</w:t>
      </w:r>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3  </w:t>
      </w:r>
      <w:r>
        <w:rPr>
          <w:rFonts w:hint="eastAsia" w:ascii="黑体" w:hAnsi="黑体" w:eastAsia="黑体"/>
          <w:sz w:val="24"/>
          <w:szCs w:val="24"/>
        </w:rPr>
        <w:t>2020年以来纯碱生产量示意图</w:t>
      </w:r>
    </w:p>
    <w:p>
      <w:pPr>
        <w:ind w:firstLine="560"/>
        <w:rPr>
          <w:rFonts w:hint="eastAsia"/>
        </w:rPr>
      </w:pPr>
      <w:r>
        <w:drawing>
          <wp:inline distT="0" distB="0" distL="0" distR="0">
            <wp:extent cx="4572000" cy="2743200"/>
            <wp:effectExtent l="0" t="0" r="0" b="0"/>
            <wp:docPr id="169205689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0" w:firstLineChars="0"/>
        <w:jc w:val="right"/>
        <w:rPr>
          <w:rFonts w:hint="eastAsia" w:ascii="仿宋" w:hAnsi="仿宋" w:cs="Calibri"/>
          <w:color w:val="000000"/>
          <w:kern w:val="0"/>
          <w:sz w:val="20"/>
          <w:szCs w:val="20"/>
        </w:rPr>
      </w:pPr>
      <w:r>
        <w:rPr>
          <w:rFonts w:ascii="仿宋" w:hAnsi="仿宋" w:cs="Calibri"/>
          <w:color w:val="000000"/>
          <w:kern w:val="0"/>
          <w:sz w:val="20"/>
          <w:szCs w:val="20"/>
        </w:rPr>
        <w:t>数据来源：同花顺iFinD</w:t>
      </w:r>
    </w:p>
    <w:p>
      <w:pPr>
        <w:ind w:firstLine="560"/>
        <w:rPr>
          <w:rFonts w:ascii="仿宋" w:hAnsi="仿宋"/>
        </w:rPr>
      </w:pPr>
      <w:r>
        <w:rPr>
          <w:rFonts w:hint="eastAsia" w:ascii="仿宋" w:hAnsi="仿宋"/>
        </w:rPr>
        <w:t>聚氯乙烯树脂(PVC)产品方面，2023年国内PVC树脂有效总产能约2,762万吨，电石法产能约有2,075万吨，占比75.13%，乙烯法产能约有687万吨，占比24.87%。PVC下游主要应用于管材管件、型材门窗、板材硬片和薄膜等领域，以管材管件和型材为首的建材领域需求仍高达60%。</w:t>
      </w:r>
    </w:p>
    <w:p>
      <w:pPr>
        <w:spacing w:line="480" w:lineRule="auto"/>
        <w:ind w:firstLine="0" w:firstLineChars="0"/>
        <w:jc w:val="center"/>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4  </w:t>
      </w:r>
      <w:r>
        <w:rPr>
          <w:rFonts w:hint="eastAsia" w:ascii="黑体" w:hAnsi="黑体" w:eastAsia="黑体"/>
          <w:sz w:val="24"/>
          <w:szCs w:val="24"/>
        </w:rPr>
        <w:t>近两年聚氯乙烯树脂生产量示意图</w:t>
      </w:r>
    </w:p>
    <w:p>
      <w:pPr>
        <w:ind w:firstLine="560"/>
        <w:rPr>
          <w:rFonts w:hint="eastAsia"/>
        </w:rPr>
      </w:pPr>
      <w:r>
        <w:drawing>
          <wp:inline distT="0" distB="0" distL="0" distR="0">
            <wp:extent cx="4572000" cy="2743200"/>
            <wp:effectExtent l="0" t="0" r="0" b="0"/>
            <wp:docPr id="11437417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0" w:firstLineChars="0"/>
        <w:jc w:val="right"/>
        <w:rPr>
          <w:rFonts w:hint="eastAsia" w:ascii="仿宋" w:hAnsi="仿宋" w:cs="Calibri"/>
          <w:color w:val="000000"/>
          <w:kern w:val="0"/>
          <w:sz w:val="20"/>
          <w:szCs w:val="20"/>
        </w:rPr>
      </w:pPr>
      <w:r>
        <w:rPr>
          <w:rFonts w:ascii="仿宋" w:hAnsi="仿宋" w:cs="Calibri"/>
          <w:color w:val="000000"/>
          <w:kern w:val="0"/>
          <w:sz w:val="20"/>
          <w:szCs w:val="20"/>
        </w:rPr>
        <w:t>数据来源：同花顺iFinD</w:t>
      </w:r>
    </w:p>
    <w:p>
      <w:pPr>
        <w:bidi w:val="0"/>
        <w:rPr>
          <w:rFonts w:hint="eastAsia" w:ascii="仿宋" w:hAnsi="仿宋" w:eastAsia="仿宋" w:cs="仿宋"/>
          <w:strike w:val="0"/>
          <w:dstrike w:val="0"/>
        </w:rPr>
      </w:pPr>
      <w:r>
        <w:rPr>
          <w:rFonts w:hint="eastAsia" w:ascii="仿宋" w:hAnsi="仿宋" w:eastAsia="仿宋" w:cs="仿宋"/>
          <w:strike w:val="0"/>
          <w:dstrike w:val="0"/>
        </w:rPr>
        <w:t>糊树脂产能及应用方面，目前国内糊树脂产能约为149.5万吨，主要用于医疗手套、人造革、搪胶玩具、滴塑商标、油漆涂料等领域，其中医疗手套和人造革占比超过50%；随着技术提升，糊树脂在电子信息、航空航天、生物技术等应用领域在不断拓展。</w:t>
      </w:r>
    </w:p>
    <w:p>
      <w:pPr>
        <w:ind w:firstLine="560"/>
        <w:rPr>
          <w:rFonts w:hint="eastAsia" w:ascii="仿宋" w:hAnsi="仿宋"/>
        </w:rPr>
      </w:pPr>
      <w:r>
        <w:rPr>
          <w:rFonts w:hint="eastAsia" w:ascii="仿宋" w:hAnsi="仿宋"/>
        </w:rPr>
        <w:t>烧碱供需方面，2023年，国内烧碱产能约4,779万吨，产量约3,999.3万吨，平均开工率84.87%。下游需求主要为氧化铝、化工、纺织化纤、造纸、轻工业、医药等，其中氧化铝为主要需求行业。国内氯碱产能分布主要集中在西北、华北和华东三个地区，占到全国总产能的80%。西北地区依托资源优势，配套PVC产品发展，生产成本优势较为明显；华北、华东地区烧碱行业发展历史悠久，配套耗氯产品可解决碱氯平衡问题，产品销售有区位优势。</w:t>
      </w:r>
    </w:p>
    <w:p>
      <w:pPr>
        <w:spacing w:line="480" w:lineRule="auto"/>
        <w:ind w:firstLine="0" w:firstLineChars="0"/>
        <w:jc w:val="center"/>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hint="eastAsia"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5  </w:t>
      </w:r>
      <w:r>
        <w:rPr>
          <w:rFonts w:hint="eastAsia" w:ascii="黑体" w:hAnsi="黑体" w:eastAsia="黑体"/>
          <w:sz w:val="24"/>
          <w:szCs w:val="24"/>
        </w:rPr>
        <w:t>2010年以来氢氧化钠生产量示意图</w:t>
      </w:r>
    </w:p>
    <w:p>
      <w:pPr>
        <w:ind w:firstLine="560"/>
        <w:rPr>
          <w:rFonts w:hint="eastAsia"/>
        </w:rPr>
      </w:pPr>
      <w:r>
        <w:drawing>
          <wp:inline distT="0" distB="0" distL="0" distR="0">
            <wp:extent cx="4572000" cy="2743200"/>
            <wp:effectExtent l="0" t="0" r="0" b="0"/>
            <wp:docPr id="173148344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0" w:firstLineChars="0"/>
        <w:jc w:val="right"/>
        <w:rPr>
          <w:rFonts w:hint="eastAsia" w:ascii="仿宋" w:hAnsi="仿宋" w:cs="Calibri"/>
          <w:color w:val="000000"/>
          <w:kern w:val="0"/>
          <w:sz w:val="20"/>
          <w:szCs w:val="20"/>
        </w:rPr>
      </w:pPr>
      <w:r>
        <w:rPr>
          <w:rFonts w:ascii="仿宋" w:hAnsi="仿宋" w:cs="Calibri"/>
          <w:color w:val="000000"/>
          <w:kern w:val="0"/>
          <w:sz w:val="20"/>
          <w:szCs w:val="20"/>
        </w:rPr>
        <w:t>数据来源：同花顺iFinD</w:t>
      </w:r>
    </w:p>
    <w:p>
      <w:pPr>
        <w:bidi w:val="0"/>
        <w:rPr>
          <w:rFonts w:hint="eastAsia" w:ascii="仿宋" w:hAnsi="仿宋" w:eastAsia="仿宋" w:cs="仿宋"/>
        </w:rPr>
      </w:pPr>
      <w:r>
        <w:rPr>
          <w:rFonts w:hint="eastAsia" w:ascii="仿宋" w:hAnsi="仿宋" w:eastAsia="仿宋" w:cs="仿宋"/>
        </w:rPr>
        <w:t>氯化铵供需方面，2023年国内氯化铵产量约1,474万吨，同比增加3.8%，氯化铵新增产能释放，市场供应面呈现增长格局，叠加国际能源价格大幅下跌效应，氯化铵市场下行，供需结构发生较大变化。</w:t>
      </w:r>
    </w:p>
    <w:p>
      <w:pPr>
        <w:ind w:firstLine="560"/>
        <w:rPr>
          <w:rFonts w:hint="eastAsia" w:ascii="仿宋" w:hAnsi="仿宋"/>
        </w:rPr>
      </w:pPr>
      <w:r>
        <w:rPr>
          <w:rFonts w:hint="eastAsia" w:ascii="仿宋" w:hAnsi="仿宋"/>
        </w:rPr>
        <w:t>在聚氯乙烯树脂(PVC)产品的价格方面，近一年来聚氯乙烯树脂价格较为低迷，于4月中旬以来有所回升，近两年的价格指数走势图见下图所示。</w:t>
      </w:r>
    </w:p>
    <w:p>
      <w:pPr>
        <w:spacing w:line="480" w:lineRule="auto"/>
        <w:ind w:firstLine="0" w:firstLineChars="0"/>
        <w:jc w:val="center"/>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6  </w:t>
      </w:r>
      <w:r>
        <w:rPr>
          <w:rFonts w:hint="eastAsia" w:ascii="黑体" w:hAnsi="黑体" w:eastAsia="黑体"/>
          <w:sz w:val="24"/>
          <w:szCs w:val="24"/>
        </w:rPr>
        <w:t>2022年以来我国PVC价格指数走势图</w:t>
      </w:r>
    </w:p>
    <w:p>
      <w:pPr>
        <w:ind w:firstLine="560"/>
      </w:pPr>
      <w:r>
        <w:drawing>
          <wp:inline distT="0" distB="0" distL="0" distR="0">
            <wp:extent cx="4286250" cy="2339975"/>
            <wp:effectExtent l="0" t="0" r="0" b="3175"/>
            <wp:docPr id="200628185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ind w:firstLine="0" w:firstLineChars="0"/>
        <w:jc w:val="right"/>
        <w:rPr>
          <w:rFonts w:hint="eastAsia" w:ascii="仿宋" w:hAnsi="仿宋" w:cs="Calibri"/>
          <w:color w:val="000000"/>
          <w:kern w:val="0"/>
          <w:sz w:val="20"/>
          <w:szCs w:val="20"/>
        </w:rPr>
      </w:pPr>
      <w:r>
        <w:rPr>
          <w:rFonts w:ascii="仿宋" w:hAnsi="仿宋" w:cs="Calibri"/>
          <w:color w:val="000000"/>
          <w:kern w:val="0"/>
          <w:sz w:val="20"/>
          <w:szCs w:val="20"/>
        </w:rPr>
        <w:t>数据来源：同花顺iFinD</w:t>
      </w:r>
    </w:p>
    <w:p>
      <w:pPr>
        <w:ind w:firstLine="560"/>
        <w:rPr>
          <w:rFonts w:hint="eastAsia"/>
          <w:lang w:eastAsia="zh-CN"/>
        </w:rPr>
      </w:pPr>
      <w:r>
        <w:rPr>
          <w:rFonts w:hint="eastAsia"/>
        </w:rPr>
        <w:t>综上所述，化工产业各项产品近两年产量稳中有升，同时需求结构有望进一步拓展，然而市场价格目前较为低迷，对于化工企业的经营状况带来一定的挑战</w:t>
      </w:r>
      <w:r>
        <w:rPr>
          <w:rFonts w:hint="eastAsia"/>
          <w:lang w:eastAsia="zh-CN"/>
        </w:rPr>
        <w:t>。</w:t>
      </w:r>
    </w:p>
    <w:p>
      <w:pPr>
        <w:pStyle w:val="4"/>
        <w:keepNext w:val="0"/>
        <w:keepLines w:val="0"/>
        <w:widowControl/>
        <w:tabs>
          <w:tab w:val="left" w:pos="0"/>
        </w:tabs>
        <w:adjustRightInd w:val="0"/>
        <w:spacing w:before="0" w:after="0" w:line="276" w:lineRule="auto"/>
        <w:ind w:firstLine="562" w:firstLineChars="200"/>
        <w:jc w:val="both"/>
        <w:rPr>
          <w:rFonts w:hint="eastAsia" w:ascii="仿宋" w:hAnsi="仿宋" w:eastAsia="仿宋" w:cs="Times New Roman (正文 CS 字体)"/>
          <w:b/>
          <w:bCs/>
          <w:color w:val="auto"/>
          <w:sz w:val="28"/>
          <w:szCs w:val="28"/>
          <w:lang w:val="en-US" w:eastAsia="zh-CN"/>
        </w:rPr>
      </w:pPr>
      <w:bookmarkStart w:id="271" w:name="_Toc25086"/>
      <w:r>
        <w:rPr>
          <w:rFonts w:hint="eastAsia" w:ascii="仿宋" w:hAnsi="仿宋" w:eastAsia="仿宋" w:cs="Times New Roman (正文 CS 字体)"/>
          <w:b/>
          <w:bCs/>
          <w:color w:val="auto"/>
          <w:sz w:val="28"/>
          <w:szCs w:val="28"/>
          <w:lang w:val="en-US" w:eastAsia="zh-CN"/>
        </w:rPr>
        <w:t>2.3光氢新能源市场分析</w:t>
      </w:r>
      <w:bookmarkEnd w:id="271"/>
    </w:p>
    <w:p>
      <w:pPr>
        <w:bidi w:val="0"/>
        <w:rPr>
          <w:rFonts w:hint="eastAsia" w:ascii="仿宋" w:hAnsi="仿宋" w:eastAsia="仿宋" w:cs="仿宋"/>
        </w:rPr>
      </w:pPr>
      <w:r>
        <w:rPr>
          <w:rFonts w:hint="eastAsia" w:ascii="仿宋" w:hAnsi="仿宋" w:eastAsia="仿宋" w:cs="仿宋"/>
        </w:rPr>
        <w:t>近年来，国家积极推动能源产业转型升级，大力发展绿色能源，积极培育新能源等战略新兴产业，加快推动以沙漠、戈壁、荒漠地区为重点的大型风电光伏基地建设，鼓励具备条件的企业、园区就近利用清洁能源，支持具备条件的企业开展“光伏+储能”等自备电厂、自备电源建设，公司打造“光氢化零碳产业基地”战略规划迎来政策持续利好。</w:t>
      </w:r>
    </w:p>
    <w:p>
      <w:pPr>
        <w:bidi w:val="0"/>
        <w:rPr>
          <w:rFonts w:hint="eastAsia" w:ascii="仿宋" w:hAnsi="仿宋" w:eastAsia="仿宋" w:cs="仿宋"/>
        </w:rPr>
      </w:pPr>
      <w:r>
        <w:rPr>
          <w:rFonts w:hint="eastAsia" w:ascii="仿宋" w:hAnsi="仿宋" w:eastAsia="仿宋" w:cs="仿宋"/>
        </w:rPr>
        <w:t>光伏产业链上下游各环节包括多晶硅、硅棒/硅锭/硅片、电池、组件、薄膜、逆变器、系统、新型储能等各环节共81个关键指标。上游主要包括金属硅、多晶硅、硅片等多晶硅料组成；中游则由电池片、光伏玻璃、EVA、背板、接线盒等晶硅组件构成；下游主要是逆变器、组件、汇流箱、蓄电池等光伏发电系统所构成。根据中国光伏产业协会有关资料，具体光伏产业链构成状况如下图所示。</w:t>
      </w:r>
    </w:p>
    <w:p>
      <w:pPr>
        <w:spacing w:line="480" w:lineRule="auto"/>
        <w:ind w:firstLine="0" w:firstLineChars="0"/>
        <w:jc w:val="center"/>
        <w:rPr>
          <w:rFonts w:hint="default"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7  </w:t>
      </w:r>
      <w:r>
        <w:rPr>
          <w:rFonts w:hint="eastAsia" w:ascii="黑体" w:hAnsi="黑体" w:eastAsia="黑体"/>
          <w:sz w:val="24"/>
          <w:szCs w:val="24"/>
        </w:rPr>
        <w:t>光伏行业产业链结构图</w:t>
      </w:r>
    </w:p>
    <w:p>
      <w:pPr>
        <w:pStyle w:val="21"/>
        <w:spacing w:before="217"/>
      </w:pPr>
      <w:r>
        <w:drawing>
          <wp:inline distT="0" distB="0" distL="114300" distR="114300">
            <wp:extent cx="5039995" cy="2434590"/>
            <wp:effectExtent l="0" t="0" r="8255" b="3810"/>
            <wp:docPr id="3" name="图片 3" descr="170651290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6512904524"/>
                    <pic:cNvPicPr>
                      <a:picLocks noChangeAspect="1"/>
                    </pic:cNvPicPr>
                  </pic:nvPicPr>
                  <pic:blipFill>
                    <a:blip r:embed="rId18"/>
                    <a:stretch>
                      <a:fillRect/>
                    </a:stretch>
                  </pic:blipFill>
                  <pic:spPr>
                    <a:xfrm>
                      <a:off x="0" y="0"/>
                      <a:ext cx="5039995" cy="2434590"/>
                    </a:xfrm>
                    <a:prstGeom prst="rect">
                      <a:avLst/>
                    </a:prstGeom>
                  </pic:spPr>
                </pic:pic>
              </a:graphicData>
            </a:graphic>
          </wp:inline>
        </w:drawing>
      </w:r>
    </w:p>
    <w:p>
      <w:pPr>
        <w:ind w:firstLine="0" w:firstLineChars="0"/>
        <w:jc w:val="right"/>
        <w:rPr>
          <w:rFonts w:hint="default" w:ascii="仿宋" w:hAnsi="仿宋" w:eastAsia="仿宋" w:cs="仿宋"/>
          <w:lang w:val="en-US" w:eastAsia="zh-CN"/>
        </w:rPr>
      </w:pPr>
      <w:r>
        <w:rPr>
          <w:rFonts w:ascii="仿宋" w:hAnsi="仿宋" w:cs="Calibri"/>
          <w:color w:val="000000"/>
          <w:kern w:val="0"/>
          <w:sz w:val="20"/>
          <w:szCs w:val="20"/>
        </w:rPr>
        <w:t>数据来源：</w:t>
      </w:r>
      <w:r>
        <w:rPr>
          <w:rFonts w:hint="eastAsia" w:ascii="仿宋" w:hAnsi="仿宋" w:cs="Calibri"/>
          <w:color w:val="000000"/>
          <w:kern w:val="0"/>
          <w:sz w:val="20"/>
          <w:szCs w:val="20"/>
          <w:lang w:val="en-US" w:eastAsia="zh-CN"/>
        </w:rPr>
        <w:t>光伏技术网</w:t>
      </w:r>
    </w:p>
    <w:p>
      <w:pPr>
        <w:bidi w:val="0"/>
        <w:rPr>
          <w:rFonts w:hint="eastAsia" w:ascii="仿宋" w:hAnsi="仿宋" w:eastAsia="仿宋" w:cs="仿宋"/>
        </w:rPr>
      </w:pPr>
      <w:r>
        <w:rPr>
          <w:rFonts w:hint="eastAsia" w:ascii="仿宋" w:hAnsi="仿宋" w:eastAsia="仿宋" w:cs="仿宋"/>
        </w:rPr>
        <w:t>在风电市场中，根据中国可再生能源学会风能专业委员会（简称CWEA）的统计，截至2022年底，中国风电新增装机11089台，容量49.83GW，同比下降10.3%，累计装机超过18万台，容量超3.9亿千瓦，同比增长14.1%。</w:t>
      </w:r>
      <w:r>
        <w:rPr>
          <w:rFonts w:hint="eastAsia" w:ascii="仿宋" w:hAnsi="仿宋" w:cs="仿宋"/>
          <w:lang w:val="en-US" w:eastAsia="zh-CN"/>
        </w:rPr>
        <w:t>其中</w:t>
      </w:r>
      <w:r>
        <w:rPr>
          <w:rFonts w:hint="eastAsia" w:ascii="仿宋" w:hAnsi="仿宋" w:eastAsia="仿宋" w:cs="仿宋"/>
        </w:rPr>
        <w:t>内蒙古是全国唯一年增风电装机量突破千万千瓦、风能年发电量突破千亿千瓦省区，达到1200万千瓦以上，占据全年新增装机比重约33%。</w:t>
      </w:r>
    </w:p>
    <w:p>
      <w:pPr>
        <w:spacing w:line="480" w:lineRule="auto"/>
        <w:ind w:firstLine="0" w:firstLineChars="0"/>
        <w:jc w:val="center"/>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hint="default"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8  </w:t>
      </w:r>
      <w:r>
        <w:rPr>
          <w:rFonts w:hint="eastAsia" w:ascii="黑体" w:hAnsi="黑体" w:eastAsia="黑体"/>
          <w:sz w:val="24"/>
          <w:szCs w:val="24"/>
        </w:rPr>
        <w:t>2012-2022年中国风电新增和累计装机容量（万千瓦）</w:t>
      </w:r>
    </w:p>
    <w:p>
      <w:pPr>
        <w:pStyle w:val="21"/>
        <w:spacing w:before="217"/>
        <w:ind w:left="0" w:leftChars="0" w:firstLine="0" w:firstLineChars="0"/>
        <w:jc w:val="center"/>
      </w:pPr>
      <w:r>
        <w:drawing>
          <wp:inline distT="0" distB="0" distL="114300" distR="114300">
            <wp:extent cx="4438650" cy="2150110"/>
            <wp:effectExtent l="0" t="0" r="0" b="254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ind w:firstLine="0" w:firstLineChars="0"/>
        <w:jc w:val="right"/>
        <w:rPr>
          <w:rFonts w:hint="default" w:ascii="仿宋" w:hAnsi="仿宋" w:cs="Calibri"/>
          <w:color w:val="000000"/>
          <w:kern w:val="0"/>
          <w:sz w:val="20"/>
          <w:szCs w:val="20"/>
        </w:rPr>
      </w:pPr>
      <w:r>
        <w:rPr>
          <w:rFonts w:ascii="仿宋" w:hAnsi="仿宋" w:cs="Calibri"/>
          <w:color w:val="000000"/>
          <w:kern w:val="0"/>
          <w:sz w:val="20"/>
          <w:szCs w:val="20"/>
        </w:rPr>
        <w:t>数据来源：CWEA</w:t>
      </w:r>
    </w:p>
    <w:p>
      <w:pPr>
        <w:bidi w:val="0"/>
        <w:rPr>
          <w:rFonts w:hint="eastAsia" w:ascii="仿宋" w:hAnsi="仿宋" w:eastAsia="仿宋" w:cs="仿宋"/>
        </w:rPr>
      </w:pPr>
      <w:r>
        <w:rPr>
          <w:rFonts w:hint="eastAsia" w:ascii="仿宋" w:hAnsi="仿宋" w:eastAsia="仿宋" w:cs="仿宋"/>
        </w:rPr>
        <w:t>“十三五”期间，全国各地纷纷对风电发展进行规划，第一梯队风电累计并网容量在1000万千瓦以上的地区包括内蒙古、河北、新疆、甘肃、云南和山东6个省区，共占比19.35%。其中，内蒙古以风电累计并网容量2700万千瓦的规划排名全国第一。中国风能协会发布的2022年度中国风能地图如下图所示。</w:t>
      </w:r>
    </w:p>
    <w:p>
      <w:pPr>
        <w:spacing w:line="480" w:lineRule="auto"/>
        <w:ind w:firstLine="0" w:firstLineChars="0"/>
        <w:jc w:val="center"/>
        <w:rPr>
          <w:rFonts w:hint="default"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9  </w:t>
      </w:r>
      <w:r>
        <w:rPr>
          <w:rFonts w:hint="eastAsia" w:ascii="黑体" w:hAnsi="黑体" w:eastAsia="黑体"/>
          <w:sz w:val="24"/>
          <w:szCs w:val="24"/>
        </w:rPr>
        <w:t>2022年全国各省（区、市）新增风电装机容量</w:t>
      </w:r>
    </w:p>
    <w:p>
      <w:pPr>
        <w:spacing w:before="217"/>
        <w:ind w:firstLine="560"/>
      </w:pPr>
      <w:r>
        <w:drawing>
          <wp:inline distT="0" distB="0" distL="114300" distR="114300">
            <wp:extent cx="4373880" cy="3056890"/>
            <wp:effectExtent l="0" t="0" r="7620" b="10160"/>
            <wp:docPr id="2" name="图片 2"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
                    <pic:cNvPicPr>
                      <a:picLocks noChangeAspect="1"/>
                    </pic:cNvPicPr>
                  </pic:nvPicPr>
                  <pic:blipFill>
                    <a:blip r:embed="rId20"/>
                    <a:stretch>
                      <a:fillRect/>
                    </a:stretch>
                  </pic:blipFill>
                  <pic:spPr>
                    <a:xfrm>
                      <a:off x="0" y="0"/>
                      <a:ext cx="4373880" cy="3056890"/>
                    </a:xfrm>
                    <a:prstGeom prst="rect">
                      <a:avLst/>
                    </a:prstGeom>
                  </pic:spPr>
                </pic:pic>
              </a:graphicData>
            </a:graphic>
          </wp:inline>
        </w:drawing>
      </w:r>
    </w:p>
    <w:p>
      <w:pPr>
        <w:ind w:firstLine="0" w:firstLineChars="0"/>
        <w:jc w:val="right"/>
        <w:rPr>
          <w:rFonts w:hint="default" w:ascii="仿宋" w:hAnsi="仿宋" w:cs="Calibri"/>
          <w:color w:val="000000"/>
          <w:kern w:val="0"/>
          <w:sz w:val="20"/>
          <w:szCs w:val="20"/>
        </w:rPr>
      </w:pPr>
      <w:r>
        <w:rPr>
          <w:rFonts w:ascii="仿宋" w:hAnsi="仿宋" w:cs="Calibri"/>
          <w:color w:val="000000"/>
          <w:kern w:val="0"/>
          <w:sz w:val="20"/>
          <w:szCs w:val="20"/>
        </w:rPr>
        <w:t>资料来源：CWEA</w:t>
      </w:r>
    </w:p>
    <w:p>
      <w:pPr>
        <w:bidi w:val="0"/>
        <w:rPr>
          <w:rFonts w:hint="eastAsia" w:ascii="仿宋" w:hAnsi="仿宋" w:eastAsia="仿宋" w:cs="仿宋"/>
        </w:rPr>
      </w:pPr>
      <w:r>
        <w:rPr>
          <w:rFonts w:hint="eastAsia" w:ascii="仿宋" w:hAnsi="仿宋" w:eastAsia="仿宋" w:cs="仿宋"/>
        </w:rPr>
        <w:t>光伏市场方面，2022年全国新增光伏并网装机容量87.41GW。累计光伏并网装机容量达到392.6GW，新增和累计装机容量均为全球第一，市场前景广阔。全年光伏发电量为4276亿千瓦时，同比增长30.8%，约占全国全年总发电量的4.9%。</w:t>
      </w:r>
    </w:p>
    <w:p>
      <w:pPr>
        <w:spacing w:line="480" w:lineRule="auto"/>
        <w:ind w:firstLine="0" w:firstLineChars="0"/>
        <w:jc w:val="center"/>
        <w:rPr>
          <w:rFonts w:hint="default"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10  </w:t>
      </w:r>
      <w:r>
        <w:rPr>
          <w:rFonts w:hint="eastAsia" w:ascii="黑体" w:hAnsi="黑体" w:eastAsia="黑体"/>
          <w:sz w:val="24"/>
          <w:szCs w:val="24"/>
        </w:rPr>
        <w:t>2017-2023年中国光伏新增和累计装机容量（万千瓦）</w:t>
      </w:r>
    </w:p>
    <w:p>
      <w:pPr>
        <w:pStyle w:val="68"/>
        <w:spacing w:before="217"/>
        <w:rPr>
          <w:rFonts w:hint="default"/>
        </w:rPr>
      </w:pPr>
      <w:r>
        <w:drawing>
          <wp:inline distT="0" distB="0" distL="114300" distR="114300">
            <wp:extent cx="5039995" cy="2668270"/>
            <wp:effectExtent l="0" t="0" r="8255" b="17780"/>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ind w:firstLine="0" w:firstLineChars="0"/>
        <w:jc w:val="right"/>
        <w:rPr>
          <w:rFonts w:ascii="仿宋" w:hAnsi="仿宋" w:cs="Calibri"/>
          <w:color w:val="000000"/>
          <w:kern w:val="0"/>
          <w:sz w:val="20"/>
          <w:szCs w:val="20"/>
        </w:rPr>
      </w:pPr>
      <w:r>
        <w:rPr>
          <w:rFonts w:ascii="仿宋" w:hAnsi="仿宋" w:cs="Calibri"/>
          <w:color w:val="000000"/>
          <w:kern w:val="0"/>
          <w:sz w:val="20"/>
          <w:szCs w:val="20"/>
        </w:rPr>
        <w:t>数据来源：国际能源网</w:t>
      </w:r>
    </w:p>
    <w:p>
      <w:pPr>
        <w:bidi w:val="0"/>
        <w:rPr>
          <w:rFonts w:hint="default"/>
        </w:rPr>
      </w:pPr>
      <w:r>
        <w:rPr>
          <w:rFonts w:hint="eastAsia" w:ascii="仿宋" w:hAnsi="仿宋" w:eastAsia="仿宋" w:cs="仿宋"/>
        </w:rPr>
        <w:t>在氢能产量方面，我国氢气市场持续增长，内蒙古地区凭借自身优异的自然资源禀赋成为主力省份，其中鄂尔多斯地区发展为全国氢能项目重镇。近10年来我国氢气产量保持连续增长，已成为世界第一产氢大国。2020年9月，“双碳”目标的提出带动氢产量快速提升，2021年我国氢能产量达3,342万吨，2022年中国氢气产量4004万吨，同比增长19.8%。与此同时，以燃料电池为代表的下游需求强势增长，带动氢能市场规模快速扩张。</w:t>
      </w:r>
    </w:p>
    <w:p>
      <w:pPr>
        <w:spacing w:line="480" w:lineRule="auto"/>
        <w:ind w:firstLine="0" w:firstLineChars="0"/>
        <w:jc w:val="center"/>
        <w:rPr>
          <w:rFonts w:hint="eastAsia" w:ascii="黑体" w:hAnsi="黑体" w:eastAsia="黑体"/>
          <w:sz w:val="24"/>
          <w:szCs w:val="24"/>
        </w:rPr>
        <w:sectPr>
          <w:pgSz w:w="11906" w:h="16838"/>
          <w:pgMar w:top="1440" w:right="1800" w:bottom="1440" w:left="1800" w:header="851" w:footer="992" w:gutter="0"/>
          <w:cols w:space="425" w:num="1"/>
          <w:docGrid w:type="lines" w:linePitch="312" w:charSpace="0"/>
        </w:sectPr>
      </w:pPr>
    </w:p>
    <w:p>
      <w:pPr>
        <w:spacing w:line="480" w:lineRule="auto"/>
        <w:ind w:firstLine="0" w:firstLineChars="0"/>
        <w:jc w:val="center"/>
        <w:rPr>
          <w:rFonts w:hint="default" w:ascii="黑体" w:hAnsi="黑体" w:eastAsia="黑体"/>
          <w:sz w:val="24"/>
          <w:szCs w:val="24"/>
        </w:rPr>
      </w:pPr>
      <w:r>
        <w:rPr>
          <w:rFonts w:hint="eastAsia" w:ascii="黑体" w:hAnsi="黑体" w:eastAsia="黑体"/>
          <w:sz w:val="24"/>
          <w:szCs w:val="24"/>
        </w:rPr>
        <w:t>图</w:t>
      </w:r>
      <w:r>
        <w:rPr>
          <w:rFonts w:hint="eastAsia" w:ascii="黑体" w:hAnsi="黑体" w:eastAsia="黑体"/>
          <w:sz w:val="24"/>
          <w:szCs w:val="24"/>
          <w:lang w:val="en-US" w:eastAsia="zh-CN"/>
        </w:rPr>
        <w:t xml:space="preserve">11  </w:t>
      </w:r>
      <w:r>
        <w:rPr>
          <w:rFonts w:hint="eastAsia" w:ascii="黑体" w:hAnsi="黑体" w:eastAsia="黑体"/>
          <w:sz w:val="24"/>
          <w:szCs w:val="24"/>
        </w:rPr>
        <w:t>2016-2022年中国氢气产量统计（万吨）</w:t>
      </w:r>
    </w:p>
    <w:p>
      <w:pPr>
        <w:pStyle w:val="21"/>
        <w:spacing w:before="217"/>
      </w:pPr>
      <w:r>
        <w:drawing>
          <wp:inline distT="0" distB="0" distL="114300" distR="114300">
            <wp:extent cx="5039995" cy="2743200"/>
            <wp:effectExtent l="0" t="0" r="8255"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ind w:firstLine="0" w:firstLineChars="0"/>
        <w:jc w:val="right"/>
        <w:rPr>
          <w:rFonts w:hint="default" w:ascii="仿宋" w:hAnsi="仿宋" w:cs="Calibri"/>
          <w:color w:val="000000"/>
          <w:kern w:val="0"/>
          <w:sz w:val="20"/>
          <w:szCs w:val="20"/>
        </w:rPr>
      </w:pPr>
      <w:r>
        <w:rPr>
          <w:rFonts w:ascii="仿宋" w:hAnsi="仿宋" w:cs="Calibri"/>
          <w:color w:val="000000"/>
          <w:kern w:val="0"/>
          <w:sz w:val="20"/>
          <w:szCs w:val="20"/>
        </w:rPr>
        <w:t>数据来源：中国煤炭工业协会</w:t>
      </w:r>
    </w:p>
    <w:p>
      <w:pPr>
        <w:bidi w:val="0"/>
        <w:rPr>
          <w:rFonts w:hint="default" w:eastAsia="仿宋"/>
          <w:lang w:val="en-US" w:eastAsia="zh-CN"/>
        </w:rPr>
      </w:pPr>
      <w:r>
        <w:rPr>
          <w:rFonts w:hint="eastAsia" w:ascii="仿宋" w:hAnsi="仿宋" w:eastAsia="仿宋" w:cs="仿宋"/>
        </w:rPr>
        <w:t>在风光储氢一体化项目方面，自2022年以来，我国氢能产业发展如火如荼，尤其是风光储氢一体化项目增多，绿氢项目更多进入人们的视野。根据中国氢能联盟2023年发布的《中国氢能源及燃料电池产业发展报告》显示，截至2022年底，我国已规划超过300个可再生能源制氢项目，建成运营项目36个，累计可再生能源制氢年产能约5.6万吨。其中，2022年我国新增建成运营可再生氢能源项目23个，新增年产能约3.3万吨，同比增长超过140%。</w:t>
      </w:r>
    </w:p>
    <w:p>
      <w:pPr>
        <w:pStyle w:val="4"/>
        <w:keepNext w:val="0"/>
        <w:keepLines w:val="0"/>
        <w:widowControl/>
        <w:tabs>
          <w:tab w:val="left" w:pos="0"/>
        </w:tabs>
        <w:adjustRightInd w:val="0"/>
        <w:spacing w:before="0" w:after="0" w:line="276" w:lineRule="auto"/>
        <w:ind w:firstLine="562" w:firstLineChars="200"/>
        <w:jc w:val="both"/>
        <w:rPr>
          <w:rFonts w:hint="eastAsia" w:ascii="仿宋" w:hAnsi="仿宋" w:eastAsia="仿宋" w:cs="仿宋"/>
        </w:rPr>
      </w:pPr>
      <w:bookmarkStart w:id="272" w:name="_Toc22930"/>
      <w:r>
        <w:rPr>
          <w:rFonts w:hint="eastAsia" w:ascii="仿宋" w:hAnsi="仿宋" w:eastAsia="仿宋" w:cs="Times New Roman (正文 CS 字体)"/>
          <w:b/>
          <w:bCs/>
          <w:color w:val="auto"/>
          <w:sz w:val="28"/>
          <w:szCs w:val="28"/>
          <w:lang w:val="en-US" w:eastAsia="zh-CN"/>
        </w:rPr>
        <w:t>2.4</w:t>
      </w:r>
      <w:r>
        <w:rPr>
          <w:rFonts w:hint="eastAsia" w:ascii="仿宋" w:hAnsi="仿宋" w:eastAsia="仿宋" w:cs="Times New Roman (正文 CS 字体)"/>
          <w:b/>
          <w:bCs/>
          <w:color w:val="auto"/>
          <w:sz w:val="28"/>
          <w:szCs w:val="28"/>
        </w:rPr>
        <w:t>公司竞争力分析</w:t>
      </w:r>
      <w:bookmarkEnd w:id="254"/>
      <w:bookmarkEnd w:id="255"/>
      <w:bookmarkEnd w:id="263"/>
      <w:bookmarkEnd w:id="264"/>
      <w:bookmarkEnd w:id="265"/>
      <w:bookmarkEnd w:id="266"/>
      <w:bookmarkEnd w:id="267"/>
      <w:bookmarkEnd w:id="272"/>
      <w:bookmarkStart w:id="273" w:name="_Toc160525377"/>
      <w:bookmarkStart w:id="274" w:name="_Toc166878916"/>
      <w:bookmarkStart w:id="275" w:name="_Toc167560438"/>
      <w:bookmarkStart w:id="276" w:name="_Toc168770892"/>
      <w:bookmarkStart w:id="277" w:name="_Toc164980164"/>
      <w:bookmarkStart w:id="278" w:name="_Toc161538503"/>
      <w:bookmarkStart w:id="279" w:name="_Toc162555961"/>
      <w:bookmarkStart w:id="280" w:name="_Toc161605253"/>
      <w:bookmarkStart w:id="281" w:name="_Toc161842922"/>
      <w:bookmarkStart w:id="282" w:name="_Toc165950676"/>
      <w:bookmarkStart w:id="283" w:name="_Toc164442375"/>
      <w:bookmarkStart w:id="284" w:name="_Toc168082484"/>
      <w:bookmarkStart w:id="285" w:name="_Toc163034562"/>
      <w:bookmarkStart w:id="286" w:name="_Toc160331826"/>
    </w:p>
    <w:p>
      <w:pPr>
        <w:bidi w:val="0"/>
        <w:rPr>
          <w:rFonts w:hint="eastAsia" w:ascii="仿宋" w:hAnsi="仿宋" w:eastAsia="仿宋" w:cs="仿宋"/>
        </w:rPr>
      </w:pPr>
      <w:r>
        <w:rPr>
          <w:rFonts w:hint="eastAsia" w:ascii="仿宋" w:hAnsi="仿宋" w:eastAsia="仿宋" w:cs="仿宋"/>
          <w:lang w:val="en-US" w:eastAsia="zh-CN"/>
        </w:rPr>
        <w:t>一是具备</w:t>
      </w:r>
      <w:r>
        <w:rPr>
          <w:rFonts w:hint="eastAsia" w:ascii="仿宋" w:hAnsi="仿宋" w:eastAsia="仿宋" w:cs="仿宋"/>
        </w:rPr>
        <w:t>风光氢储一体化融合发展优势</w:t>
      </w:r>
      <w:r>
        <w:rPr>
          <w:rFonts w:hint="eastAsia" w:ascii="仿宋" w:hAnsi="仿宋" w:eastAsia="仿宋" w:cs="仿宋"/>
          <w:lang w:eastAsia="zh-CN"/>
        </w:rPr>
        <w:t>。</w:t>
      </w:r>
      <w:r>
        <w:rPr>
          <w:rFonts w:hint="eastAsia" w:ascii="仿宋" w:hAnsi="仿宋" w:eastAsia="仿宋" w:cs="仿宋"/>
        </w:rPr>
        <w:t>在风光端，公司自2013年起投资建设吉瓦级光伏治沙项目，是国内较早探索实践光伏治沙模式的企业之一。截至目前，公司在库布其沙漠控股、参股投资建成并网的光伏治沙项目280万千瓦，在腾格里沙漠投资建成并网的光伏治沙项目50万千瓦，规划建设50万千瓦光伏治沙项目，拥有较强的风光产业基础和实践经验。在氢储端，公司在原盐电解、煤气化重整、副产氢回收等制氢端和乙二醇、甲醇及合成氨等用氢端均拥有多年的生产管理经验和成熟的运营团队，具备大规模发展绿氢产业的基础条件；公司与国内知名企业合作，设立合资公司投资建设2GW组件及2GW储能生产线实现了当年开工，当年投产目标，数字化厂房、智能化生产线在国内均属于领先水平；公司参股投资的氢田时代已完成测试基地的建设，已部署数条自动化氢装备生产线，产品稳定性高、供货周期短，具备管理体系国家三标认证证书、压力管道GC1和压力容器A2特种设备类生产许可证、必维检测认证等多项资质和认证证书，可满足国内外绿氢项目大批量设备采购需求。</w:t>
      </w:r>
    </w:p>
    <w:p>
      <w:pPr>
        <w:bidi w:val="0"/>
        <w:rPr>
          <w:rFonts w:hint="eastAsia" w:ascii="仿宋" w:hAnsi="仿宋" w:eastAsia="仿宋" w:cs="仿宋"/>
        </w:rPr>
      </w:pPr>
      <w:r>
        <w:rPr>
          <w:rFonts w:hint="eastAsia" w:ascii="仿宋" w:hAnsi="仿宋" w:eastAsia="仿宋" w:cs="仿宋"/>
          <w:lang w:val="en-US" w:eastAsia="zh-CN"/>
        </w:rPr>
        <w:t>二是具备</w:t>
      </w:r>
      <w:r>
        <w:rPr>
          <w:rFonts w:hint="eastAsia" w:ascii="仿宋" w:hAnsi="仿宋" w:eastAsia="仿宋" w:cs="仿宋"/>
        </w:rPr>
        <w:t>就近消纳场景优势</w:t>
      </w:r>
      <w:r>
        <w:rPr>
          <w:rFonts w:hint="eastAsia" w:ascii="仿宋" w:hAnsi="仿宋" w:eastAsia="仿宋" w:cs="仿宋"/>
          <w:lang w:eastAsia="zh-CN"/>
        </w:rPr>
        <w:t>。</w:t>
      </w:r>
      <w:r>
        <w:rPr>
          <w:rFonts w:hint="eastAsia" w:ascii="仿宋" w:hAnsi="仿宋" w:eastAsia="仿宋" w:cs="仿宋"/>
        </w:rPr>
        <w:t>公司在鄂尔多斯地区建有以电石、聚氯乙烯、烧碱为核心产品的达拉特旗循环经济园区和以乙二醇、甲醇、尿素等为核心产品的库布其现代煤化工产业园区，两大工业园区为推动“风光氢储新材料”一体化、多能互补、清洁能源替代、“源网荷储”一体化等模式发展绿电就近消纳创造了得天独厚的基础条件。目前，公司正依托两大工业园区产业基础及核心优势，构筑沙戈荒“风光氢储”一体化发展的低碳全产业链生态圈，着力打造亿利阳光谷低碳产业基地。</w:t>
      </w:r>
    </w:p>
    <w:p>
      <w:pPr>
        <w:bidi w:val="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三是具备</w:t>
      </w:r>
      <w:r>
        <w:rPr>
          <w:rFonts w:hint="eastAsia" w:ascii="仿宋" w:hAnsi="仿宋" w:eastAsia="仿宋" w:cs="仿宋"/>
        </w:rPr>
        <w:t>主要股东支持优势</w:t>
      </w:r>
      <w:r>
        <w:rPr>
          <w:rFonts w:hint="eastAsia" w:ascii="仿宋" w:hAnsi="仿宋" w:eastAsia="仿宋" w:cs="仿宋"/>
          <w:lang w:eastAsia="zh-CN"/>
        </w:rPr>
        <w:t>。</w:t>
      </w:r>
      <w:r>
        <w:rPr>
          <w:rFonts w:hint="eastAsia" w:ascii="仿宋" w:hAnsi="仿宋" w:eastAsia="仿宋" w:cs="仿宋"/>
        </w:rPr>
        <w:t>公司大股东亿利资源集团有限公司成立于1988年，是联合国认定的全球治沙领导者企业，30多年来联手绿色企业和农牧民，治理绿化库布其沙漠超过6000平方公里，被巴黎气候大会标举为“治沙样本”，亿利库布其生态示范区被国家命名为“绿水青山就是金山银山”实践创新基地。根据《太阳能资源等级总辐射》(GB/T31155-2014)，公司控股股东亿利资源集团的沙漠核心治理区域均属于我国太阳能发电II类资源地区，光照资源充足，太阳能电站年均发电小时数在1,750小时以上。大股东36年治沙积淀的新能源土地位于“十四五”规划的九大清洁能源基地范围，为公司投资建设风光新能源项目提供土地资源支持。大股东创新沙戈荒大跨度柔性光伏支架系统，创塑新能源与治沙生态融合发展模式，实现产业多层化、生态多样化、效益多元化，为公司投资建设风光新能源项目提供“光伏+立体生态空间智慧系统”的差异化解决方案。公司第二大股东系中国长江三峡集团控股的三峡能源，具有较强的技术、资金和央企综合实力优势，为公司业务发展提供有力支持。</w:t>
      </w:r>
    </w:p>
    <w:p>
      <w:pPr>
        <w:pStyle w:val="2"/>
        <w:keepNext w:val="0"/>
        <w:keepLines w:val="0"/>
        <w:widowControl/>
        <w:tabs>
          <w:tab w:val="left" w:pos="0"/>
        </w:tabs>
        <w:adjustRightInd w:val="0"/>
        <w:spacing w:before="156" w:beforeLines="50" w:after="156" w:afterLines="50" w:line="360" w:lineRule="auto"/>
        <w:jc w:val="center"/>
        <w:rPr>
          <w:rFonts w:ascii="黑体" w:hAnsi="黑体" w:eastAsia="黑体" w:cs="方正小标宋"/>
          <w:b/>
          <w:bCs/>
          <w:color w:val="auto"/>
          <w:sz w:val="44"/>
          <w:szCs w:val="44"/>
        </w:rPr>
      </w:pPr>
      <w:bookmarkStart w:id="287" w:name="_Toc32606"/>
      <w:bookmarkStart w:id="288" w:name="_Toc22296"/>
      <w:r>
        <w:rPr>
          <w:rFonts w:hint="eastAsia" w:ascii="黑体" w:hAnsi="黑体" w:eastAsia="黑体" w:cs="方正小标宋"/>
          <w:b/>
          <w:bCs/>
          <w:color w:val="auto"/>
          <w:sz w:val="44"/>
          <w:szCs w:val="44"/>
        </w:rPr>
        <w:t>第四章、</w:t>
      </w:r>
      <w:r>
        <w:rPr>
          <w:rFonts w:ascii="黑体" w:hAnsi="黑体" w:eastAsia="黑体" w:cs="方正小标宋"/>
          <w:b/>
          <w:bCs/>
          <w:color w:val="auto"/>
          <w:sz w:val="44"/>
          <w:szCs w:val="44"/>
        </w:rPr>
        <w:t>财务分析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289" w:name="_Toc162555962"/>
      <w:bookmarkStart w:id="290" w:name="_Toc160525378"/>
      <w:bookmarkStart w:id="291" w:name="_Toc25553"/>
      <w:bookmarkStart w:id="292" w:name="_Toc164442376"/>
      <w:bookmarkStart w:id="293" w:name="_Toc165950677"/>
      <w:bookmarkStart w:id="294" w:name="_Toc163034563"/>
      <w:bookmarkStart w:id="295" w:name="_Toc161605254"/>
      <w:bookmarkStart w:id="296" w:name="_Toc167560439"/>
      <w:bookmarkStart w:id="297" w:name="_Toc168082485"/>
      <w:bookmarkStart w:id="298" w:name="_Toc166878917"/>
      <w:bookmarkStart w:id="299" w:name="_Toc164980165"/>
      <w:bookmarkStart w:id="300" w:name="_Toc160331827"/>
      <w:bookmarkStart w:id="301" w:name="_Toc161538504"/>
      <w:bookmarkStart w:id="302" w:name="_Toc11809"/>
      <w:bookmarkStart w:id="303" w:name="_Toc168770893"/>
      <w:bookmarkStart w:id="304" w:name="_Toc161842923"/>
      <w:r>
        <w:rPr>
          <w:rFonts w:hint="eastAsia" w:ascii="黑体" w:hAnsi="黑体" w:eastAsia="黑体" w:cs="黑体"/>
          <w:b/>
          <w:bCs/>
          <w:color w:val="auto"/>
          <w:sz w:val="36"/>
          <w:szCs w:val="36"/>
        </w:rPr>
        <w:t>一、</w:t>
      </w:r>
      <w:r>
        <w:rPr>
          <w:rFonts w:ascii="黑体" w:hAnsi="黑体" w:eastAsia="黑体" w:cs="黑体"/>
          <w:b/>
          <w:bCs/>
          <w:color w:val="auto"/>
          <w:sz w:val="36"/>
          <w:szCs w:val="36"/>
        </w:rPr>
        <w:t>2023</w:t>
      </w:r>
      <w:r>
        <w:rPr>
          <w:rFonts w:hint="eastAsia" w:ascii="黑体" w:hAnsi="黑体" w:eastAsia="黑体" w:cs="黑体"/>
          <w:b/>
          <w:bCs/>
          <w:color w:val="auto"/>
          <w:sz w:val="36"/>
          <w:szCs w:val="36"/>
        </w:rPr>
        <w:t>年</w:t>
      </w:r>
      <w:r>
        <w:rPr>
          <w:rFonts w:ascii="黑体" w:hAnsi="黑体" w:eastAsia="黑体" w:cs="黑体"/>
          <w:b/>
          <w:bCs/>
          <w:color w:val="auto"/>
          <w:sz w:val="36"/>
          <w:szCs w:val="36"/>
        </w:rPr>
        <w:t>财报数据与关键指标</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ind w:firstLine="560"/>
        <w:rPr>
          <w:rFonts w:ascii="仿宋" w:hAnsi="仿宋"/>
        </w:rPr>
      </w:pPr>
      <w:r>
        <w:rPr>
          <w:rFonts w:hint="eastAsia" w:ascii="仿宋" w:hAnsi="仿宋"/>
          <w:lang w:eastAsia="zh-CN"/>
        </w:rPr>
        <w:t>亿利洁能</w:t>
      </w:r>
      <w:r>
        <w:rPr>
          <w:rFonts w:hint="eastAsia" w:ascii="仿宋" w:hAnsi="仿宋"/>
        </w:rPr>
        <w:t>于2024年</w:t>
      </w:r>
      <w:r>
        <w:rPr>
          <w:rFonts w:hint="eastAsia" w:ascii="仿宋" w:hAnsi="仿宋"/>
          <w:lang w:val="en-US" w:eastAsia="zh-CN"/>
        </w:rPr>
        <w:t>4</w:t>
      </w:r>
      <w:r>
        <w:rPr>
          <w:rFonts w:hint="eastAsia" w:ascii="仿宋" w:hAnsi="仿宋"/>
        </w:rPr>
        <w:t>月</w:t>
      </w:r>
      <w:r>
        <w:rPr>
          <w:rFonts w:hint="eastAsia" w:ascii="仿宋" w:hAnsi="仿宋"/>
          <w:lang w:val="en-US" w:eastAsia="zh-CN"/>
        </w:rPr>
        <w:t>29</w:t>
      </w:r>
      <w:r>
        <w:rPr>
          <w:rFonts w:hint="eastAsia" w:ascii="仿宋" w:hAnsi="仿宋"/>
        </w:rPr>
        <w:t>日</w:t>
      </w:r>
      <w:r>
        <w:rPr>
          <w:rFonts w:ascii="仿宋" w:hAnsi="仿宋"/>
        </w:rPr>
        <w:t>发布</w:t>
      </w:r>
      <w:r>
        <w:rPr>
          <w:rFonts w:hint="eastAsia" w:ascii="仿宋" w:hAnsi="仿宋"/>
        </w:rPr>
        <w:t>2023年年报</w:t>
      </w:r>
      <w:r>
        <w:rPr>
          <w:rFonts w:ascii="仿宋" w:hAnsi="仿宋"/>
        </w:rPr>
        <w:t>，2023</w:t>
      </w:r>
      <w:r>
        <w:rPr>
          <w:rFonts w:hint="eastAsia" w:ascii="仿宋" w:hAnsi="仿宋"/>
        </w:rPr>
        <w:t>年</w:t>
      </w:r>
      <w:r>
        <w:rPr>
          <w:rFonts w:ascii="仿宋" w:hAnsi="仿宋"/>
        </w:rPr>
        <w:t>度</w:t>
      </w:r>
      <w:r>
        <w:rPr>
          <w:rFonts w:hint="eastAsia" w:ascii="仿宋" w:hAnsi="仿宋"/>
        </w:rPr>
        <w:t>公司</w:t>
      </w:r>
      <w:r>
        <w:rPr>
          <w:rFonts w:ascii="仿宋" w:hAnsi="仿宋"/>
        </w:rPr>
        <w:t>实现营业</w:t>
      </w:r>
      <w:r>
        <w:rPr>
          <w:rFonts w:hint="eastAsia" w:ascii="仿宋" w:hAnsi="仿宋"/>
        </w:rPr>
        <w:t>总</w:t>
      </w:r>
      <w:r>
        <w:rPr>
          <w:rFonts w:ascii="仿宋" w:hAnsi="仿宋"/>
        </w:rPr>
        <w:t>收入</w:t>
      </w:r>
      <w:r>
        <w:rPr>
          <w:rFonts w:hint="eastAsia" w:ascii="仿宋" w:hAnsi="仿宋"/>
          <w:lang w:val="en-US" w:eastAsia="zh-CN"/>
        </w:rPr>
        <w:t>217413.10</w:t>
      </w:r>
      <w:r>
        <w:rPr>
          <w:rFonts w:hint="eastAsia" w:ascii="仿宋" w:hAnsi="仿宋"/>
        </w:rPr>
        <w:t>万</w:t>
      </w:r>
      <w:r>
        <w:rPr>
          <w:rFonts w:ascii="仿宋" w:hAnsi="仿宋"/>
        </w:rPr>
        <w:t>元，同比</w:t>
      </w:r>
      <w:r>
        <w:rPr>
          <w:rFonts w:hint="eastAsia" w:ascii="仿宋" w:hAnsi="仿宋"/>
          <w:lang w:val="en-US" w:eastAsia="zh-CN"/>
        </w:rPr>
        <w:t>增长2.42</w:t>
      </w:r>
      <w:r>
        <w:rPr>
          <w:rFonts w:ascii="仿宋" w:hAnsi="仿宋"/>
        </w:rPr>
        <w:t>%</w:t>
      </w:r>
      <w:r>
        <w:rPr>
          <w:rFonts w:hint="eastAsia" w:ascii="仿宋" w:hAnsi="仿宋"/>
        </w:rPr>
        <w:t>；</w:t>
      </w:r>
      <w:r>
        <w:rPr>
          <w:rFonts w:ascii="仿宋" w:hAnsi="仿宋"/>
        </w:rPr>
        <w:t>实现归母净利润</w:t>
      </w:r>
      <w:r>
        <w:rPr>
          <w:rFonts w:hint="eastAsia" w:ascii="仿宋" w:hAnsi="仿宋"/>
          <w:lang w:val="en-US" w:eastAsia="zh-CN"/>
        </w:rPr>
        <w:t>7793.29</w:t>
      </w:r>
      <w:r>
        <w:rPr>
          <w:rFonts w:hint="eastAsia" w:ascii="仿宋" w:hAnsi="仿宋"/>
        </w:rPr>
        <w:t>万</w:t>
      </w:r>
      <w:r>
        <w:rPr>
          <w:rFonts w:ascii="仿宋" w:hAnsi="仿宋"/>
        </w:rPr>
        <w:t>元，同比</w:t>
      </w:r>
      <w:r>
        <w:rPr>
          <w:rFonts w:hint="eastAsia" w:ascii="仿宋" w:hAnsi="仿宋"/>
          <w:lang w:val="en-US" w:eastAsia="zh-CN"/>
        </w:rPr>
        <w:t>增长12.76</w:t>
      </w:r>
      <w:r>
        <w:rPr>
          <w:rFonts w:ascii="仿宋" w:hAnsi="仿宋"/>
        </w:rPr>
        <w:t>%</w:t>
      </w:r>
      <w:r>
        <w:rPr>
          <w:rFonts w:hint="eastAsia" w:ascii="仿宋" w:hAnsi="仿宋"/>
        </w:rPr>
        <w:t>；关键比率中，</w:t>
      </w:r>
      <w:r>
        <w:rPr>
          <w:rFonts w:ascii="仿宋" w:hAnsi="仿宋"/>
        </w:rPr>
        <w:t>2023</w:t>
      </w:r>
      <w:r>
        <w:rPr>
          <w:rFonts w:hint="eastAsia" w:ascii="仿宋" w:hAnsi="仿宋"/>
        </w:rPr>
        <w:t>年</w:t>
      </w:r>
      <w:r>
        <w:rPr>
          <w:rFonts w:ascii="仿宋" w:hAnsi="仿宋"/>
        </w:rPr>
        <w:t>度</w:t>
      </w:r>
      <w:r>
        <w:rPr>
          <w:rFonts w:hint="eastAsia" w:ascii="仿宋" w:hAnsi="仿宋"/>
        </w:rPr>
        <w:t>公司</w:t>
      </w:r>
      <w:r>
        <w:rPr>
          <w:rFonts w:ascii="仿宋" w:hAnsi="仿宋"/>
        </w:rPr>
        <w:t>资产负债率</w:t>
      </w:r>
      <w:r>
        <w:rPr>
          <w:rFonts w:hint="eastAsia" w:ascii="仿宋" w:hAnsi="仿宋"/>
        </w:rPr>
        <w:t>为</w:t>
      </w:r>
      <w:r>
        <w:rPr>
          <w:rFonts w:hint="eastAsia" w:ascii="仿宋" w:hAnsi="仿宋"/>
          <w:lang w:val="en-US" w:eastAsia="zh-CN"/>
        </w:rPr>
        <w:t>53.85</w:t>
      </w:r>
      <w:r>
        <w:rPr>
          <w:rFonts w:hint="eastAsia" w:ascii="仿宋" w:hAnsi="仿宋"/>
        </w:rPr>
        <w:t>%、</w:t>
      </w:r>
      <w:r>
        <w:rPr>
          <w:rFonts w:ascii="仿宋" w:hAnsi="仿宋"/>
        </w:rPr>
        <w:t>总资产周转率</w:t>
      </w:r>
      <w:r>
        <w:rPr>
          <w:rFonts w:hint="eastAsia" w:ascii="仿宋" w:hAnsi="仿宋"/>
        </w:rPr>
        <w:t>为</w:t>
      </w:r>
      <w:r>
        <w:rPr>
          <w:rFonts w:hint="eastAsia" w:ascii="仿宋" w:hAnsi="仿宋"/>
          <w:lang w:val="en-US" w:eastAsia="zh-CN"/>
        </w:rPr>
        <w:t>0.44</w:t>
      </w:r>
      <w:r>
        <w:rPr>
          <w:rFonts w:hint="eastAsia" w:ascii="仿宋" w:hAnsi="仿宋"/>
        </w:rPr>
        <w:t>次、</w:t>
      </w:r>
      <w:r>
        <w:rPr>
          <w:rFonts w:ascii="仿宋" w:hAnsi="仿宋"/>
        </w:rPr>
        <w:t>销售毛利率</w:t>
      </w:r>
      <w:r>
        <w:rPr>
          <w:rFonts w:hint="eastAsia" w:ascii="仿宋" w:hAnsi="仿宋"/>
        </w:rPr>
        <w:t>为</w:t>
      </w:r>
      <w:r>
        <w:rPr>
          <w:rFonts w:hint="eastAsia" w:ascii="仿宋" w:hAnsi="仿宋"/>
          <w:lang w:val="en-US" w:eastAsia="zh-CN"/>
        </w:rPr>
        <w:t>29.55</w:t>
      </w:r>
      <w:r>
        <w:rPr>
          <w:rFonts w:hint="eastAsia" w:ascii="仿宋" w:hAnsi="仿宋"/>
        </w:rPr>
        <w:t>%、</w:t>
      </w:r>
      <w:r>
        <w:rPr>
          <w:rFonts w:ascii="仿宋" w:hAnsi="仿宋"/>
        </w:rPr>
        <w:t>销售净利率</w:t>
      </w:r>
      <w:r>
        <w:rPr>
          <w:rFonts w:hint="eastAsia" w:ascii="仿宋" w:hAnsi="仿宋"/>
        </w:rPr>
        <w:t>为</w:t>
      </w:r>
      <w:r>
        <w:rPr>
          <w:rFonts w:hint="eastAsia" w:ascii="仿宋" w:hAnsi="仿宋"/>
          <w:lang w:val="en-US" w:eastAsia="zh-CN"/>
        </w:rPr>
        <w:t>4.34</w:t>
      </w:r>
      <w:r>
        <w:rPr>
          <w:rFonts w:hint="eastAsia" w:ascii="仿宋" w:hAnsi="仿宋"/>
        </w:rPr>
        <w:t>%。</w:t>
      </w:r>
    </w:p>
    <w:p>
      <w:pPr>
        <w:spacing w:line="360" w:lineRule="auto"/>
        <w:ind w:firstLine="0" w:firstLineChars="0"/>
        <w:jc w:val="center"/>
        <w:rPr>
          <w:rFonts w:ascii="黑体" w:hAnsi="黑体" w:eastAsia="黑体"/>
          <w:sz w:val="24"/>
          <w:szCs w:val="24"/>
        </w:rPr>
      </w:pPr>
      <w:r>
        <w:rPr>
          <w:rFonts w:hint="eastAsia" w:ascii="黑体" w:hAnsi="黑体" w:eastAsia="黑体"/>
          <w:sz w:val="24"/>
          <w:szCs w:val="24"/>
        </w:rPr>
        <w:t>表</w:t>
      </w:r>
      <w:r>
        <w:rPr>
          <w:rFonts w:hint="eastAsia" w:ascii="黑体" w:hAnsi="黑体" w:eastAsia="黑体"/>
          <w:sz w:val="24"/>
          <w:szCs w:val="24"/>
          <w:lang w:val="en-US" w:eastAsia="zh-CN"/>
        </w:rPr>
        <w:t xml:space="preserve">7  </w:t>
      </w:r>
      <w:r>
        <w:rPr>
          <w:rFonts w:hint="eastAsia" w:ascii="黑体" w:hAnsi="黑体" w:eastAsia="黑体"/>
          <w:sz w:val="24"/>
          <w:szCs w:val="24"/>
          <w:lang w:eastAsia="zh-CN"/>
        </w:rPr>
        <w:t>亿利洁能</w:t>
      </w:r>
      <w:r>
        <w:rPr>
          <w:rFonts w:hint="eastAsia" w:ascii="黑体" w:hAnsi="黑体" w:eastAsia="黑体"/>
          <w:sz w:val="24"/>
          <w:szCs w:val="24"/>
        </w:rPr>
        <w:t>财务报表汇总</w:t>
      </w:r>
    </w:p>
    <w:p>
      <w:pPr>
        <w:wordWrap w:val="0"/>
        <w:ind w:firstLine="400"/>
        <w:jc w:val="right"/>
        <w:rPr>
          <w:sz w:val="20"/>
          <w:szCs w:val="20"/>
        </w:rPr>
      </w:pPr>
      <w:r>
        <w:rPr>
          <w:rFonts w:hint="eastAsia"/>
          <w:sz w:val="20"/>
          <w:szCs w:val="20"/>
        </w:rPr>
        <w:t>单位：万元</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6"/>
        <w:gridCol w:w="1016"/>
        <w:gridCol w:w="1016"/>
        <w:gridCol w:w="1018"/>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2023年报</w:t>
            </w:r>
          </w:p>
        </w:tc>
        <w:tc>
          <w:tcPr>
            <w:tcW w:w="59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2022年报</w:t>
            </w:r>
          </w:p>
        </w:tc>
        <w:tc>
          <w:tcPr>
            <w:tcW w:w="637"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2021年报</w:t>
            </w:r>
          </w:p>
        </w:tc>
        <w:tc>
          <w:tcPr>
            <w:tcW w:w="59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bottom"/>
          </w:tcPr>
          <w:p>
            <w:pPr>
              <w:tabs>
                <w:tab w:val="clear" w:pos="0"/>
              </w:tabs>
              <w:adjustRightInd/>
              <w:ind w:firstLine="0" w:firstLineChars="0"/>
              <w:rPr>
                <w:rFonts w:hint="default" w:ascii="仿宋" w:hAnsi="仿宋" w:cs="宋体"/>
                <w:b/>
                <w:bCs/>
                <w:color w:val="000000"/>
                <w:kern w:val="0"/>
                <w:sz w:val="16"/>
                <w:szCs w:val="16"/>
                <w:lang w:val="en-US" w:eastAsia="zh-CN"/>
              </w:rPr>
            </w:pPr>
            <w:r>
              <w:rPr>
                <w:rFonts w:hint="default" w:ascii="仿宋" w:hAnsi="仿宋" w:cs="宋体"/>
                <w:b/>
                <w:bCs/>
                <w:color w:val="000000"/>
                <w:kern w:val="0"/>
                <w:sz w:val="16"/>
                <w:szCs w:val="16"/>
                <w:lang w:val="en-US" w:eastAsia="zh-CN"/>
              </w:rPr>
              <w:t>2020年报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利润表摘要</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营业总收入</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217,413.10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212,270.53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207,798.87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181,463.90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营业总收入同比增长率(%)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14.51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营业收入</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217,413.10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212,270.53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207,798.87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181,463.90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营业收入同比增长率(%)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14.51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营业总成本</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205,803.18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198,432.40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193,376.55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168,868.55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营业利润</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10,473.27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12,124.07</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13,971.14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12,943.31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营业利润同比增长率(%)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-13.62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-13.22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7.94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利润总额</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10,149.64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11,884.48</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14,291.08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14,090.54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净利润</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9,443.45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11,804.05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12,208.88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13,919.31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归属母公司股东的净利润</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8,645.70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7,554.34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9,399.24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11,732.45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归属母公司股东的净利润同比增长率(%)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-19.63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扣除非经常性损益后的归属母公司股东净利润</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7,793.29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6,903.84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8,004.19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10,005.52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扣除非经常性损益后的归属母公司股东净利润同比增长率(%)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12.76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-13.75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-20.00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非经常性损益</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852.41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650.49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1,395.05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1,726.93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研发费用总额</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11,526.54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12,201.08</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8,728.96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7,949.92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资产负债表摘要</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流动资产</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203,958.55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174,651.54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164,995.16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124,014.71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固定资产</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137,049.13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130,466.91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91,325.04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92,201.58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长期股权投资</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25.58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25.15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23.02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资产合计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545,380.74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450,558.25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406,452.59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337,686.72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流动负债</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225,732.53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166,463.64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116,368.52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137,306.14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非流动负债</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67,980.06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41,572.94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20,434.65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25,386.44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负债合计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293,712.60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208,036.59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136,803.17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162,692.59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股东权益</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251,668.14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242,521.67</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269,649.42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174,994.13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归属母公司股东的权益</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224,679.13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222,159.02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243,821.13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161,488.33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资本公积</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89,648.30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88,896.28</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107,904.70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42,193.61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盈余公积</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13,053.53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12,317.10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12,285.89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12,048.41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未分配利润</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56,010.27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55,631.22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48,108.09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45,299.23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现金流量表摘要</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经营活动产生的现金流量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19,876.59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12,447.12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15,297.85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25,808.00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每股经营活动产生的现金流量净额(元)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0.25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0.16</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0.20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投资活动产生的现金流量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-53,418.81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-38,679.60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-39,798.55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-20,440.82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筹资活动产生的现金流量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41,305.06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15,043.27</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44,870.32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2,760.37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现金及现金等价物净增加</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8,670.22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-9,028.10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20,153.89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7,412.81</w:t>
            </w:r>
          </w:p>
        </w:tc>
      </w:tr>
    </w:tbl>
    <w:p/>
    <w:p>
      <w:pPr>
        <w:ind w:left="0" w:leftChars="0"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续上表</w:t>
      </w:r>
      <w:r>
        <w:rPr>
          <w:rFonts w:hint="eastAsia" w:ascii="仿宋" w:hAnsi="仿宋" w:cs="仿宋"/>
          <w:sz w:val="24"/>
          <w:szCs w:val="24"/>
          <w:lang w:val="en-US" w:eastAsia="zh-CN"/>
        </w:rPr>
        <w:t>7</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8"/>
        <w:gridCol w:w="1016"/>
        <w:gridCol w:w="1016"/>
        <w:gridCol w:w="109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每股现金流量净额(元)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0.26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期末现金及现金等价物余额</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49,762.97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41,092.74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50,120.84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29,966.95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销售商品、提供劳务收到的现金</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206,512.51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211,368.29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204,671.96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169,916.96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购建固定资产、无形资产和其他长期资产支付的现金</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45,721.71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40,215.68</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38,372.21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20,400.80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投资支付的现金</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900.00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420.00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10.00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吸收投资收到的现金</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5,480.00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90,437.54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取得借款收到的现金</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203,305.80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160,138.79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123,984.39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124,931.81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折旧与摊销</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18,095.02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15,804.82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13,412.20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12,176.35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关键比率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15,207.38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16,350.69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19,746.23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19,176.75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EBITDA</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33,302.40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32,155.51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33,158.42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31,353.10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EBITMargin(%)</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6.99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7.70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EBITDAMargin(%)</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15.32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15.15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资产负债率(%)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46.17</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33.66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总资产周转率(次)</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0.44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净资产收益率-摊薄(%)</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3.40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净资产收益率-加权(%)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净资产收益率-扣除/加权(%)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销售毛利率(%)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29.55</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28.92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31.33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销售净利率(%)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4.34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5.56</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净资产收益率-平均(%)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3.24</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总资产净利率-平均(%)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投入资本回报率ROIC(%)</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4.21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销售商品、提供劳务收到的现金/营业收入(%)</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94.99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99.57</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98.50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企业自由现金流量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16,484.47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32,267.92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-70,008.86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33,547.35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股权自由现金流量</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76,510.21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92,854.06</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-103,417.79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48,201.47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r>
              <w:rPr>
                <w:rFonts w:hint="default" w:ascii="仿宋" w:hAnsi="仿宋" w:cs="宋体"/>
                <w:color w:val="000000"/>
                <w:kern w:val="0"/>
                <w:sz w:val="16"/>
                <w:szCs w:val="16"/>
                <w:lang w:val="en-US" w:eastAsia="zh-CN"/>
              </w:rPr>
              <w:t>每股指标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default" w:ascii="仿宋" w:hAnsi="仿宋" w:cs="宋体"/>
                <w:color w:val="000000"/>
                <w:kern w:val="0"/>
                <w:sz w:val="16"/>
                <w:szCs w:val="16"/>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每股收益-基本(元)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每股收益-稀释(元)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0.14</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每股收益-扣除/基本(元)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每股收益-扣除/稀释(元)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0.09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每股收益-期末股本摊薄(元)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0.11</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PE(TTM)</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43.42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50.90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PE(LYR)</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43.42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53.10</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50.90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PB(MRQ)</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PB(LYR)</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PS(TTM)</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PS(LYR)</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1.73</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1.89</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2.30</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PCF(TTM)</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32.23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31.27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PCF(LYR)</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18.89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32.23</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31.27</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每股净资产BPS(元)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2.88</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2.85</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3.12</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每股销售额SPS(元)</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2.79</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2.72</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2.66</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2.86</w:t>
            </w:r>
          </w:p>
        </w:tc>
      </w:tr>
    </w:tbl>
    <w:p>
      <w:pPr>
        <w:ind w:firstLine="0" w:firstLineChars="0"/>
        <w:jc w:val="right"/>
        <w:rPr>
          <w:rFonts w:ascii="仿宋" w:hAnsi="仿宋" w:cs="Calibri"/>
          <w:color w:val="000000"/>
          <w:kern w:val="0"/>
          <w:sz w:val="20"/>
          <w:szCs w:val="20"/>
        </w:rPr>
      </w:pPr>
      <w:r>
        <w:rPr>
          <w:rFonts w:ascii="仿宋" w:hAnsi="仿宋" w:cs="Calibri"/>
          <w:color w:val="000000"/>
          <w:kern w:val="0"/>
          <w:sz w:val="20"/>
          <w:szCs w:val="20"/>
        </w:rPr>
        <w:t>数据来源：同花顺iFinD</w:t>
      </w:r>
    </w:p>
    <w:p>
      <w:pPr>
        <w:pStyle w:val="3"/>
        <w:keepNext w:val="0"/>
        <w:keepLines w:val="0"/>
        <w:widowControl/>
        <w:tabs>
          <w:tab w:val="left" w:pos="0"/>
        </w:tabs>
        <w:adjustRightInd w:val="0"/>
        <w:spacing w:before="156" w:beforeLines="50" w:after="156" w:afterLines="50" w:line="276" w:lineRule="auto"/>
        <w:ind w:firstLine="653"/>
        <w:jc w:val="right"/>
        <w:rPr>
          <w:rFonts w:ascii="黑体" w:hAnsi="黑体" w:eastAsia="黑体" w:cs="黑体"/>
          <w:b/>
          <w:bCs/>
          <w:color w:val="auto"/>
          <w:sz w:val="36"/>
          <w:szCs w:val="36"/>
        </w:rPr>
        <w:sectPr>
          <w:pgSz w:w="11906" w:h="16838"/>
          <w:pgMar w:top="1440" w:right="1800" w:bottom="1440" w:left="1800" w:header="851" w:footer="992" w:gutter="0"/>
          <w:cols w:space="425" w:num="1"/>
          <w:docGrid w:type="lines" w:linePitch="312" w:charSpace="0"/>
        </w:sectPr>
      </w:pPr>
      <w:bookmarkStart w:id="305" w:name="_Toc163034564"/>
      <w:bookmarkStart w:id="306" w:name="_Toc161842924"/>
      <w:bookmarkStart w:id="307" w:name="_Toc160331828"/>
      <w:bookmarkStart w:id="308" w:name="_Toc160525379"/>
      <w:bookmarkStart w:id="309" w:name="_Toc162555963"/>
      <w:bookmarkStart w:id="310" w:name="_Toc161605255"/>
      <w:bookmarkStart w:id="311" w:name="_Toc161538505"/>
    </w:p>
    <w:p>
      <w:pPr>
        <w:pStyle w:val="3"/>
        <w:keepNext w:val="0"/>
        <w:keepLines w:val="0"/>
        <w:widowControl/>
        <w:tabs>
          <w:tab w:val="left" w:pos="0"/>
        </w:tabs>
        <w:adjustRightInd w:val="0"/>
        <w:spacing w:before="156" w:beforeLines="50" w:after="156" w:afterLines="50" w:line="276" w:lineRule="auto"/>
        <w:ind w:firstLine="653"/>
        <w:rPr>
          <w:rFonts w:ascii="黑体" w:hAnsi="黑体" w:eastAsia="黑体" w:cs="黑体"/>
          <w:b/>
          <w:bCs/>
          <w:color w:val="auto"/>
          <w:sz w:val="36"/>
          <w:szCs w:val="36"/>
        </w:rPr>
      </w:pPr>
      <w:bookmarkStart w:id="312" w:name="_Toc168770894"/>
      <w:bookmarkStart w:id="313" w:name="_Toc165950678"/>
      <w:bookmarkStart w:id="314" w:name="_Toc166878918"/>
      <w:bookmarkStart w:id="315" w:name="_Toc167560440"/>
      <w:bookmarkStart w:id="316" w:name="_Toc164442377"/>
      <w:bookmarkStart w:id="317" w:name="_Toc164980166"/>
      <w:bookmarkStart w:id="318" w:name="_Toc674"/>
      <w:bookmarkStart w:id="319" w:name="_Toc168082486"/>
      <w:bookmarkStart w:id="320" w:name="_Toc21"/>
      <w:r>
        <w:rPr>
          <w:rFonts w:hint="eastAsia" w:ascii="黑体" w:hAnsi="黑体" w:eastAsia="黑体" w:cs="黑体"/>
          <w:b/>
          <w:bCs/>
          <w:color w:val="auto"/>
          <w:sz w:val="36"/>
          <w:szCs w:val="36"/>
        </w:rPr>
        <w:t>二、经营情况分析与未来盈利展望</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321" w:name="_Toc167560441"/>
      <w:bookmarkStart w:id="322" w:name="_Toc161538506"/>
      <w:bookmarkStart w:id="323" w:name="_Toc162555964"/>
      <w:bookmarkStart w:id="324" w:name="_Toc160525380"/>
      <w:bookmarkStart w:id="325" w:name="_Toc6308"/>
      <w:bookmarkStart w:id="326" w:name="_Toc163034565"/>
      <w:bookmarkStart w:id="327" w:name="_Toc164980167"/>
      <w:bookmarkStart w:id="328" w:name="_Toc164442378"/>
      <w:bookmarkStart w:id="329" w:name="_Toc168770895"/>
      <w:bookmarkStart w:id="330" w:name="_Toc165950679"/>
      <w:bookmarkStart w:id="331" w:name="_Toc160331829"/>
      <w:bookmarkStart w:id="332" w:name="_Toc161605256"/>
      <w:bookmarkStart w:id="333" w:name="_Toc168082487"/>
      <w:bookmarkStart w:id="334" w:name="_Toc161842925"/>
      <w:bookmarkStart w:id="335" w:name="_Toc6272"/>
      <w:bookmarkStart w:id="336" w:name="_Toc166878919"/>
      <w:bookmarkStart w:id="337" w:name="_Toc168770896"/>
      <w:bookmarkStart w:id="338" w:name="_Toc161605257"/>
      <w:bookmarkStart w:id="339" w:name="_Toc165950680"/>
      <w:bookmarkStart w:id="340" w:name="_Toc163034566"/>
      <w:bookmarkStart w:id="341" w:name="_Toc168082488"/>
      <w:bookmarkStart w:id="342" w:name="_Toc161842926"/>
      <w:bookmarkStart w:id="343" w:name="_Toc166878920"/>
      <w:bookmarkStart w:id="344" w:name="_Toc164980168"/>
      <w:bookmarkStart w:id="345" w:name="_Toc161538507"/>
      <w:bookmarkStart w:id="346" w:name="_Toc160525381"/>
      <w:bookmarkStart w:id="347" w:name="_Toc164442379"/>
      <w:bookmarkStart w:id="348" w:name="_Toc167560442"/>
      <w:bookmarkStart w:id="349" w:name="_Toc162555965"/>
      <w:bookmarkStart w:id="350" w:name="_Toc160331830"/>
      <w:r>
        <w:rPr>
          <w:rFonts w:ascii="仿宋" w:hAnsi="仿宋" w:eastAsia="仿宋" w:cs="Times New Roman (正文 CS 字体)"/>
          <w:b/>
          <w:bCs/>
          <w:color w:val="auto"/>
          <w:sz w:val="28"/>
          <w:szCs w:val="28"/>
        </w:rPr>
        <w:t>2.1经营情况分析</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bidi w:val="0"/>
        <w:rPr>
          <w:rFonts w:hint="eastAsia" w:ascii="仿宋" w:hAnsi="仿宋" w:eastAsia="仿宋" w:cs="仿宋"/>
        </w:rPr>
      </w:pPr>
      <w:r>
        <w:rPr>
          <w:rFonts w:hint="eastAsia" w:ascii="仿宋" w:hAnsi="仿宋" w:eastAsia="仿宋" w:cs="仿宋"/>
        </w:rPr>
        <w:t>截至2023年12月31日，公司资产总额313.45亿元，归属母公司净资产164.26亿元。</w:t>
      </w:r>
      <w:r>
        <w:rPr>
          <w:rFonts w:hint="eastAsia" w:ascii="仿宋" w:hAnsi="仿宋" w:cs="仿宋"/>
          <w:lang w:eastAsia="zh-CN"/>
        </w:rPr>
        <w:t>2023年</w:t>
      </w:r>
      <w:r>
        <w:rPr>
          <w:rFonts w:hint="eastAsia" w:ascii="仿宋" w:hAnsi="仿宋" w:eastAsia="仿宋" w:cs="仿宋"/>
        </w:rPr>
        <w:t>，公司实现营业收入87.61亿元，较上年同期下降21.62%；实现归属于母公司净利润-5.42亿元，比上年同期7.31亿元，减少12.73亿元。</w:t>
      </w:r>
    </w:p>
    <w:p>
      <w:pPr>
        <w:bidi w:val="0"/>
        <w:rPr>
          <w:rFonts w:hint="eastAsia" w:ascii="仿宋" w:hAnsi="仿宋" w:eastAsia="仿宋" w:cs="仿宋"/>
        </w:rPr>
      </w:pPr>
      <w:r>
        <w:rPr>
          <w:rFonts w:hint="eastAsia" w:ascii="仿宋" w:hAnsi="仿宋" w:eastAsia="仿宋" w:cs="仿宋"/>
          <w:lang w:val="en-US" w:eastAsia="zh-CN"/>
        </w:rPr>
        <w:t>一是</w:t>
      </w:r>
      <w:r>
        <w:rPr>
          <w:rFonts w:hint="eastAsia" w:ascii="仿宋" w:hAnsi="仿宋" w:eastAsia="仿宋" w:cs="仿宋"/>
        </w:rPr>
        <w:t>现代煤化工</w:t>
      </w:r>
      <w:r>
        <w:rPr>
          <w:rFonts w:hint="eastAsia" w:ascii="仿宋" w:hAnsi="仿宋" w:eastAsia="仿宋" w:cs="仿宋"/>
          <w:lang w:val="en-US" w:eastAsia="zh-CN"/>
        </w:rPr>
        <w:t>产业进一步</w:t>
      </w:r>
      <w:r>
        <w:rPr>
          <w:rFonts w:hint="eastAsia" w:ascii="仿宋" w:hAnsi="仿宋" w:eastAsia="仿宋" w:cs="仿宋"/>
        </w:rPr>
        <w:t>降本提质，生产经营稳定运行</w:t>
      </w:r>
      <w:r>
        <w:rPr>
          <w:rFonts w:hint="eastAsia" w:ascii="仿宋" w:hAnsi="仿宋" w:eastAsia="仿宋" w:cs="仿宋"/>
          <w:lang w:eastAsia="zh-CN"/>
        </w:rPr>
        <w:t>。</w:t>
      </w:r>
      <w:r>
        <w:rPr>
          <w:rFonts w:hint="eastAsia" w:ascii="仿宋" w:hAnsi="仿宋" w:eastAsia="仿宋" w:cs="仿宋"/>
          <w:lang w:val="en-US" w:eastAsia="zh-CN"/>
        </w:rPr>
        <w:t>2023年，</w:t>
      </w:r>
      <w:r>
        <w:rPr>
          <w:rFonts w:hint="eastAsia" w:ascii="仿宋" w:hAnsi="仿宋" w:eastAsia="仿宋" w:cs="仿宋"/>
        </w:rPr>
        <w:t>公司充分发挥以氯碱、聚酯为核心的两大现代煤化工产业链协同管理运营优势，狠抓基础管理，眼睛向内持续挖掘降本提质空间。面对主要产品和原材料市场价格持续震荡波动，顶住市场下行压力，紧盯市场动态，研判价格走势，把握市场机遇，及时调整产品销售和原材料采购策略，优化和稳定生产运行，动态调整产品结构，产供销有序衔接。同时，深入研究煤炭保供和多边电力交易政策，适时调整原材料采购和电力交易策略，有效降低成本支出。</w:t>
      </w:r>
    </w:p>
    <w:p>
      <w:pPr>
        <w:bidi w:val="0"/>
        <w:rPr>
          <w:rFonts w:hint="eastAsia" w:ascii="仿宋" w:hAnsi="仿宋" w:eastAsia="仿宋" w:cs="仿宋"/>
          <w:lang w:eastAsia="zh-CN"/>
        </w:rPr>
      </w:pPr>
      <w:r>
        <w:rPr>
          <w:rFonts w:hint="eastAsia" w:ascii="仿宋" w:hAnsi="仿宋" w:eastAsia="仿宋" w:cs="仿宋"/>
          <w:lang w:val="en-US" w:eastAsia="zh-CN"/>
        </w:rPr>
        <w:t>二是</w:t>
      </w:r>
      <w:r>
        <w:rPr>
          <w:rFonts w:hint="eastAsia" w:ascii="仿宋" w:hAnsi="仿宋" w:eastAsia="仿宋" w:cs="仿宋"/>
        </w:rPr>
        <w:t>光氢新能源</w:t>
      </w:r>
      <w:r>
        <w:rPr>
          <w:rFonts w:hint="eastAsia" w:ascii="仿宋" w:hAnsi="仿宋" w:eastAsia="仿宋" w:cs="仿宋"/>
          <w:lang w:val="en-US" w:eastAsia="zh-CN"/>
        </w:rPr>
        <w:t>产业</w:t>
      </w:r>
      <w:r>
        <w:rPr>
          <w:rFonts w:hint="eastAsia" w:ascii="仿宋" w:hAnsi="仿宋" w:eastAsia="仿宋" w:cs="仿宋"/>
        </w:rPr>
        <w:t>横向联合，纵向整合，光氢产业加速布局</w:t>
      </w:r>
      <w:r>
        <w:rPr>
          <w:rFonts w:hint="eastAsia" w:ascii="仿宋" w:hAnsi="仿宋" w:eastAsia="仿宋" w:cs="仿宋"/>
          <w:lang w:eastAsia="zh-CN"/>
        </w:rPr>
        <w:t>。</w:t>
      </w:r>
      <w:r>
        <w:rPr>
          <w:rFonts w:hint="eastAsia" w:ascii="仿宋" w:hAnsi="仿宋" w:eastAsia="仿宋" w:cs="仿宋"/>
        </w:rPr>
        <w:t>公司自2013年起投资建设吉瓦级光伏治沙项目，是国内较早探索实践光伏治沙模式的企业，率先实现了产业多层化、生态多样化、效益多元化。公司创新“板上双面发电、板下双层生态、板间低碳产业”的立体生态光伏治沙模式。公司已在内蒙库布其、甘肃腾格里等地累计开发并建成投运光伏项目装机规模330万千瓦。公司在内蒙库布其拥有大规模电解制氢、煤制氢装置，具有丰富的生产、技术和管理经验。</w:t>
      </w:r>
    </w:p>
    <w:p>
      <w:pPr>
        <w:bidi w:val="0"/>
        <w:rPr>
          <w:rFonts w:hint="eastAsia" w:ascii="仿宋" w:hAnsi="仿宋" w:eastAsia="仿宋" w:cs="仿宋"/>
          <w:lang w:eastAsia="zh-CN"/>
        </w:rPr>
      </w:pPr>
      <w:r>
        <w:rPr>
          <w:rFonts w:hint="eastAsia" w:ascii="仿宋" w:hAnsi="仿宋" w:cs="仿宋"/>
          <w:lang w:eastAsia="zh-CN"/>
        </w:rPr>
        <w:t>2023年</w:t>
      </w:r>
      <w:r>
        <w:rPr>
          <w:rFonts w:hint="eastAsia" w:ascii="仿宋" w:hAnsi="仿宋" w:eastAsia="仿宋" w:cs="仿宋"/>
        </w:rPr>
        <w:t>，公司联营企业光氢公司建设的蒙西基地库布其200万千瓦光伏治沙项目建成并网，该项目是我国单体规模最大的光伏治沙项目。公司在甘肃武威的50万千瓦立体生态光伏治沙项目建成并网。公司与战略合作伙伴联合投资建设的亿采储能2GW储能、亿利一道2GW光伏组件项目完成厂房和产线建设，实现了当年开工、当年投产目标，数字化厂房、智能化生产线在国内均属于领先水平。</w:t>
      </w:r>
    </w:p>
    <w:p>
      <w:pPr>
        <w:bidi w:val="0"/>
        <w:rPr>
          <w:rFonts w:hint="eastAsia" w:ascii="仿宋" w:hAnsi="仿宋" w:eastAsia="仿宋" w:cs="仿宋"/>
          <w:lang w:eastAsia="zh-CN"/>
        </w:rPr>
      </w:pPr>
      <w:r>
        <w:rPr>
          <w:rFonts w:hint="eastAsia" w:ascii="仿宋" w:hAnsi="仿宋" w:eastAsia="仿宋" w:cs="仿宋"/>
        </w:rPr>
        <w:t>公司参股投资的氢田时代快速推进氢装备研发与智能制造，已部署数条自动化氢装备生产线，产品稳定性高、供货周期短，可满足国内外绿氢项目大批量设备采购需求，并成功实现订单突破。</w:t>
      </w:r>
      <w:r>
        <w:rPr>
          <w:rFonts w:hint="eastAsia" w:ascii="仿宋" w:hAnsi="仿宋" w:cs="仿宋"/>
          <w:lang w:eastAsia="zh-CN"/>
        </w:rPr>
        <w:t>2023年</w:t>
      </w:r>
      <w:r>
        <w:rPr>
          <w:rFonts w:hint="eastAsia" w:ascii="仿宋" w:hAnsi="仿宋" w:eastAsia="仿宋" w:cs="仿宋"/>
        </w:rPr>
        <w:t>，氢田时代已具备管理体系国家三标认证证书、压力管道GC1和压力容器A2特种设备类生产许可证、必维检测认证等多项资质和认证证书，且已申请20余项制氢相关的专利知识产权，“碱性电解槽及配套BOP系统”凭借其优异的性能成功入选了内蒙古自治区新能源装备产品优选推荐名录。</w:t>
      </w:r>
    </w:p>
    <w:p>
      <w:pPr>
        <w:bidi w:val="0"/>
        <w:rPr>
          <w:rFonts w:hint="eastAsia" w:ascii="仿宋" w:hAnsi="仿宋" w:eastAsia="仿宋" w:cs="仿宋"/>
          <w:lang w:eastAsia="zh-CN"/>
        </w:rPr>
      </w:pPr>
      <w:r>
        <w:rPr>
          <w:rFonts w:hint="eastAsia" w:ascii="仿宋" w:hAnsi="仿宋" w:eastAsia="仿宋" w:cs="仿宋"/>
          <w:lang w:val="en-US" w:eastAsia="zh-CN"/>
        </w:rPr>
        <w:t>三是</w:t>
      </w:r>
      <w:r>
        <w:rPr>
          <w:rFonts w:hint="eastAsia" w:ascii="仿宋" w:hAnsi="仿宋" w:eastAsia="仿宋" w:cs="仿宋"/>
        </w:rPr>
        <w:t>清洁热力</w:t>
      </w:r>
      <w:r>
        <w:rPr>
          <w:rFonts w:hint="eastAsia" w:ascii="仿宋" w:hAnsi="仿宋" w:eastAsia="仿宋" w:cs="仿宋"/>
          <w:lang w:val="en-US" w:eastAsia="zh-CN"/>
        </w:rPr>
        <w:t>产业进行</w:t>
      </w:r>
      <w:r>
        <w:rPr>
          <w:rFonts w:hint="eastAsia" w:ascii="仿宋" w:hAnsi="仿宋" w:eastAsia="仿宋" w:cs="仿宋"/>
        </w:rPr>
        <w:t>存量转型，增量突破，实现绿色综合能源服务转型升级</w:t>
      </w:r>
      <w:r>
        <w:rPr>
          <w:rFonts w:hint="eastAsia" w:ascii="仿宋" w:hAnsi="仿宋" w:eastAsia="仿宋" w:cs="仿宋"/>
          <w:lang w:eastAsia="zh-CN"/>
        </w:rPr>
        <w:t>。</w:t>
      </w:r>
      <w:r>
        <w:rPr>
          <w:rFonts w:hint="eastAsia" w:ascii="仿宋" w:hAnsi="仿宋" w:eastAsia="仿宋" w:cs="仿宋"/>
        </w:rPr>
        <w:t>公司旗下洁能科技聚焦大型工业园区低碳、安全高效的综合能源供应，已在全国13个工业园区设立集中供热中心，总规模1905t/h，分布于湖南、山东、江苏、甘肃、河南、浙江、安徽、江西等多省区，并作为园区唯一特许经营热源。依托现有服务的清洁热力园区基础，致力于打造工业园区内热力、分布式光伏发电、用户侧储能、天然气、生物质、垃圾淤泥处理等多能源协同供应一体化解决方案服务商。</w:t>
      </w:r>
    </w:p>
    <w:p>
      <w:pPr>
        <w:bidi w:val="0"/>
        <w:rPr>
          <w:rFonts w:hint="eastAsia" w:ascii="仿宋" w:hAnsi="仿宋" w:eastAsia="仿宋" w:cs="仿宋"/>
        </w:rPr>
      </w:pPr>
      <w:r>
        <w:rPr>
          <w:rFonts w:hint="eastAsia" w:ascii="仿宋" w:hAnsi="仿宋" w:cs="仿宋"/>
          <w:lang w:eastAsia="zh-CN"/>
        </w:rPr>
        <w:t>2023年</w:t>
      </w:r>
      <w:r>
        <w:rPr>
          <w:rFonts w:hint="eastAsia" w:ascii="仿宋" w:hAnsi="仿宋" w:eastAsia="仿宋" w:cs="仿宋"/>
        </w:rPr>
        <w:t>，公司密切关注国家政策变化对产业的调整，针对当地政府政策变化，结合各项目园区实际情况，积极推进技术改造项目，提升生产效率、压降生产单耗和损耗，提升项目经营质量，实现项目保值增值。此外，洁能科技积极研究转型升级策略，围绕现有布局的工业园区，大力拓展优质分布式光伏、工商业储能业务合作，向节能降碳领域赋能，实现热力向综合智慧能源业务转型。</w:t>
      </w:r>
    </w:p>
    <w:p>
      <w:pPr>
        <w:bidi w:val="0"/>
        <w:rPr>
          <w:rFonts w:hint="eastAsia" w:ascii="仿宋" w:hAnsi="仿宋" w:eastAsia="仿宋" w:cs="仿宋"/>
          <w:lang w:eastAsia="zh-CN"/>
        </w:rPr>
      </w:pPr>
      <w:r>
        <w:rPr>
          <w:rFonts w:hint="eastAsia" w:ascii="仿宋" w:hAnsi="仿宋" w:eastAsia="仿宋" w:cs="仿宋"/>
          <w:lang w:val="en-US" w:eastAsia="zh-CN"/>
        </w:rPr>
        <w:t>四是推进</w:t>
      </w:r>
      <w:r>
        <w:rPr>
          <w:rFonts w:hint="eastAsia" w:ascii="仿宋" w:hAnsi="仿宋" w:eastAsia="仿宋" w:cs="仿宋"/>
        </w:rPr>
        <w:t>技改升级，产业延伸，聚焦绿色低碳新材料</w:t>
      </w:r>
      <w:r>
        <w:rPr>
          <w:rFonts w:hint="eastAsia" w:ascii="仿宋" w:hAnsi="仿宋" w:eastAsia="仿宋" w:cs="仿宋"/>
          <w:lang w:eastAsia="zh-CN"/>
        </w:rPr>
        <w:t>。</w:t>
      </w:r>
      <w:r>
        <w:rPr>
          <w:rFonts w:hint="eastAsia" w:ascii="仿宋" w:hAnsi="仿宋" w:eastAsia="仿宋" w:cs="仿宋"/>
          <w:lang w:val="en-US" w:eastAsia="zh-CN"/>
        </w:rPr>
        <w:t>2023年</w:t>
      </w:r>
      <w:r>
        <w:rPr>
          <w:rFonts w:hint="eastAsia" w:ascii="仿宋" w:hAnsi="仿宋" w:eastAsia="仿宋" w:cs="仿宋"/>
        </w:rPr>
        <w:t>公司持续推进技术改造及技术创新工作，助力生产降本提质。达拉特园区方面电石炉改造、分布式光伏、导热油炉及固废发电、三氯乙烯等重大项目投入使用或加快建设，优化了公司产品结构，降低能耗，提升了产品竞争能力；库布其园区方面，锅炉改造、主蒸汽管道改造、集控室搬迁、旋风分离器技改、消防改造等项目，均按计划完成或推进实施。同时，公司全面推动数字化转型，推进智能化数字化工厂建设，实现产业及管</w:t>
      </w:r>
      <w:bookmarkStart w:id="353" w:name="_GoBack"/>
      <w:bookmarkEnd w:id="353"/>
      <w:r>
        <w:rPr>
          <w:rFonts w:hint="eastAsia" w:ascii="仿宋" w:hAnsi="仿宋" w:eastAsia="仿宋" w:cs="仿宋"/>
        </w:rPr>
        <w:t>理数字化升级。一方面是持续梳理各生产工序自动化程度、对照现状提出改进措施，进一步提升生产装置自动化及智能化水平；另一方面持续优化安全生产信息化管理平台，将安全生产管理工作予以固化、不断提升安全生产管理。</w:t>
      </w:r>
    </w:p>
    <w:p>
      <w:pPr>
        <w:bidi w:val="0"/>
        <w:rPr>
          <w:rFonts w:hint="eastAsia" w:ascii="仿宋" w:hAnsi="仿宋" w:eastAsia="仿宋" w:cs="仿宋"/>
          <w:lang w:eastAsia="zh-CN"/>
        </w:rPr>
      </w:pPr>
      <w:r>
        <w:rPr>
          <w:rFonts w:hint="eastAsia" w:ascii="仿宋" w:hAnsi="仿宋" w:eastAsia="仿宋" w:cs="仿宋"/>
          <w:lang w:val="en-US" w:eastAsia="zh-CN"/>
        </w:rPr>
        <w:t>同时</w:t>
      </w:r>
      <w:r>
        <w:rPr>
          <w:rFonts w:hint="eastAsia" w:ascii="仿宋" w:hAnsi="仿宋" w:eastAsia="仿宋" w:cs="仿宋"/>
        </w:rPr>
        <w:t>公司设立新能源新材料研究院，立足亿利沙漠绿电优势及已有大工业园区消纳场景，探索规划产业延链、补链、强链的项目新产品，积极推动绿氢制绿氨绿肥绿色甲醇等下游产业链项目落地。公司与国内知名企业合作，设立合资公司投资建设组件及储能生产线。为加快构筑“风光氢储新材料”一体化发展的低碳全产业链和生态圈奠定基础。</w:t>
      </w:r>
    </w:p>
    <w:p>
      <w:pPr>
        <w:bidi w:val="0"/>
        <w:rPr>
          <w:rFonts w:hint="eastAsia" w:ascii="仿宋" w:hAnsi="仿宋" w:eastAsia="仿宋" w:cs="仿宋"/>
        </w:rPr>
      </w:pPr>
      <w:r>
        <w:rPr>
          <w:rFonts w:hint="eastAsia" w:ascii="仿宋" w:hAnsi="仿宋" w:eastAsia="仿宋" w:cs="仿宋"/>
          <w:lang w:val="en-US" w:eastAsia="zh-CN"/>
        </w:rPr>
        <w:t>五是坚持</w:t>
      </w:r>
      <w:r>
        <w:rPr>
          <w:rFonts w:hint="eastAsia" w:ascii="仿宋" w:hAnsi="仿宋" w:eastAsia="仿宋" w:cs="仿宋"/>
        </w:rPr>
        <w:t>安全第一、规范治理，全面推动公司价值提升</w:t>
      </w:r>
      <w:r>
        <w:rPr>
          <w:rFonts w:hint="eastAsia" w:ascii="仿宋" w:hAnsi="仿宋" w:eastAsia="仿宋" w:cs="仿宋"/>
          <w:lang w:eastAsia="zh-CN"/>
        </w:rPr>
        <w:t>。</w:t>
      </w:r>
      <w:r>
        <w:rPr>
          <w:rFonts w:hint="eastAsia" w:ascii="仿宋" w:hAnsi="仿宋" w:eastAsia="仿宋" w:cs="仿宋"/>
        </w:rPr>
        <w:t>公司始终坚持安全第一、预防为主、综合治理的方针，建立了长效、完善的安全生产管理制度，强化HSE管理，强化责任体系，提升管控能力，全力确保安全环保和生产运行稳定，切实把安全生产作为公司实现可持续发展的生命线，着力建设安全企业，切实把安全生产作为公司实现可持续发展的生命线，保障企业工作有效运行。</w:t>
      </w:r>
    </w:p>
    <w:p>
      <w:pPr>
        <w:bidi w:val="0"/>
        <w:rPr>
          <w:rFonts w:hint="eastAsia" w:ascii="仿宋" w:hAnsi="仿宋" w:eastAsia="仿宋" w:cs="仿宋"/>
          <w:lang w:eastAsia="zh-CN"/>
        </w:rPr>
      </w:pPr>
      <w:r>
        <w:rPr>
          <w:rFonts w:hint="eastAsia" w:ascii="仿宋" w:hAnsi="仿宋" w:cs="仿宋"/>
          <w:lang w:eastAsia="zh-CN"/>
        </w:rPr>
        <w:t>2023年</w:t>
      </w:r>
      <w:r>
        <w:rPr>
          <w:rFonts w:hint="eastAsia" w:ascii="仿宋" w:hAnsi="仿宋" w:eastAsia="仿宋" w:cs="仿宋"/>
        </w:rPr>
        <w:t>，公司控股子公司亿利化学被评为国家级绿色工厂、中国PVC知名生产企业，并荣获全国五一劳动奖状；达拉特分公司获得电石行业“十三五”节能减排先进单位称号，2023年中国石油和化工民营企业百强称号；洁能科技下属天宁热电连续第四年获得省级“环保诚信企业”称号；亿利一道公司光伏组件产品入选内蒙古自治区“2023年第二批新能源装备产品优选推荐名录”。</w:t>
      </w:r>
    </w:p>
    <w:p>
      <w:pPr>
        <w:bidi w:val="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r>
        <w:rPr>
          <w:rFonts w:hint="eastAsia" w:ascii="仿宋" w:hAnsi="仿宋" w:cs="仿宋"/>
          <w:lang w:eastAsia="zh-CN"/>
        </w:rPr>
        <w:t>2023年</w:t>
      </w:r>
      <w:r>
        <w:rPr>
          <w:rFonts w:hint="eastAsia" w:ascii="仿宋" w:hAnsi="仿宋" w:eastAsia="仿宋" w:cs="仿宋"/>
        </w:rPr>
        <w:t>，公司控股子公司亿鼎生态下属气化车间发生高压气体泄漏事故，导致现场作业工作人员坠落，事故共造成10人死亡，3人受伤。事故发生后，公司高度重视，全力开展事故应急处置和善后工作，同步开展安全退料停车工作，防止次生事故发生。此后，公司全力配合事故调查工作，成立事故调查工作组，通过整理资料、谈话问询、保护现场等多方面工作还原事故经过、查找事故原因。对于事故造成的重大伤亡和惨重损失，公司深刻吸取教训，深入反思、积极整改。一是对各级政府和部门相关领导作出的重要指示进行认真学习传达和贯彻落实，从思想上强化安全责任意识。二是对标同行业公司，开展多轮对标学习活动，吸收借鉴同行业公司的优秀管理经验，提升自身安全管理水平。三是切实制定整改措施，对公司法人治理结构进行强化，增强补齐安全管理机构和人员；重新健全安全制度体系，完善安全规章制度；落实全员安全生产，层层压实责任；做好常态化员工培训教育和应急预案演练；全面深入排查隐患并及时整改、消灭危险源；加强现场及设备管理，对安全绩效考评严格要求。</w:t>
      </w:r>
    </w:p>
    <w:p>
      <w:pPr>
        <w:pStyle w:val="4"/>
        <w:keepNext w:val="0"/>
        <w:keepLines w:val="0"/>
        <w:widowControl/>
        <w:tabs>
          <w:tab w:val="left" w:pos="0"/>
        </w:tabs>
        <w:adjustRightInd w:val="0"/>
        <w:spacing w:before="0" w:after="0" w:line="276" w:lineRule="auto"/>
        <w:ind w:firstLine="562" w:firstLineChars="200"/>
        <w:jc w:val="both"/>
        <w:rPr>
          <w:rFonts w:ascii="仿宋" w:hAnsi="仿宋" w:eastAsia="仿宋" w:cs="Times New Roman (正文 CS 字体)"/>
          <w:b/>
          <w:bCs/>
          <w:color w:val="auto"/>
          <w:sz w:val="28"/>
          <w:szCs w:val="28"/>
        </w:rPr>
      </w:pPr>
      <w:bookmarkStart w:id="351" w:name="_Toc14960"/>
      <w:bookmarkStart w:id="352" w:name="_Toc10782"/>
      <w:r>
        <w:rPr>
          <w:rFonts w:ascii="仿宋" w:hAnsi="仿宋" w:eastAsia="仿宋" w:cs="Times New Roman (正文 CS 字体)"/>
          <w:b/>
          <w:bCs/>
          <w:color w:val="auto"/>
          <w:sz w:val="28"/>
          <w:szCs w:val="28"/>
        </w:rPr>
        <w:t>2.2盈利预测</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ind w:firstLine="560"/>
        <w:rPr>
          <w:rFonts w:ascii="仿宋" w:hAnsi="仿宋"/>
        </w:rPr>
      </w:pPr>
      <w:r>
        <w:rPr>
          <w:rFonts w:hint="eastAsia" w:ascii="仿宋" w:hAnsi="仿宋"/>
        </w:rPr>
        <w:t>根据当前同花顺iFinD有关数据，能够</w:t>
      </w:r>
      <w:r>
        <w:rPr>
          <w:rFonts w:ascii="仿宋" w:hAnsi="仿宋"/>
        </w:rPr>
        <w:t>预计公司202</w:t>
      </w:r>
      <w:r>
        <w:rPr>
          <w:rFonts w:hint="eastAsia" w:ascii="仿宋" w:hAnsi="仿宋"/>
        </w:rPr>
        <w:t>4</w:t>
      </w:r>
      <w:r>
        <w:rPr>
          <w:rFonts w:ascii="仿宋" w:hAnsi="仿宋"/>
        </w:rPr>
        <w:t>-202</w:t>
      </w:r>
      <w:r>
        <w:rPr>
          <w:rFonts w:hint="eastAsia" w:ascii="仿宋" w:hAnsi="仿宋"/>
        </w:rPr>
        <w:t>6</w:t>
      </w:r>
      <w:r>
        <w:rPr>
          <w:rFonts w:ascii="仿宋" w:hAnsi="仿宋"/>
        </w:rPr>
        <w:t>年营业总收入为</w:t>
      </w:r>
      <w:r>
        <w:rPr>
          <w:rFonts w:hint="eastAsia" w:ascii="仿宋" w:hAnsi="仿宋"/>
          <w:lang w:val="en-US" w:eastAsia="zh-CN"/>
        </w:rPr>
        <w:t>701,275</w:t>
      </w:r>
      <w:r>
        <w:rPr>
          <w:rFonts w:ascii="仿宋" w:hAnsi="仿宋"/>
        </w:rPr>
        <w:t>/</w:t>
      </w:r>
      <w:r>
        <w:rPr>
          <w:rFonts w:hint="eastAsia" w:ascii="仿宋" w:hAnsi="仿宋"/>
          <w:lang w:val="en-US" w:eastAsia="zh-CN"/>
        </w:rPr>
        <w:t>768,583</w:t>
      </w:r>
      <w:r>
        <w:rPr>
          <w:rFonts w:hint="eastAsia" w:ascii="仿宋" w:hAnsi="仿宋"/>
        </w:rPr>
        <w:t>/</w:t>
      </w:r>
      <w:r>
        <w:rPr>
          <w:rFonts w:hint="eastAsia" w:ascii="仿宋" w:hAnsi="仿宋"/>
          <w:lang w:val="en-US" w:eastAsia="zh-CN"/>
        </w:rPr>
        <w:t>853,280</w:t>
      </w:r>
      <w:r>
        <w:rPr>
          <w:rFonts w:hint="eastAsia" w:ascii="仿宋" w:hAnsi="仿宋"/>
        </w:rPr>
        <w:t>万</w:t>
      </w:r>
      <w:r>
        <w:rPr>
          <w:rFonts w:ascii="仿宋" w:hAnsi="仿宋"/>
        </w:rPr>
        <w:t>元，同比增速为</w:t>
      </w:r>
      <w:r>
        <w:rPr>
          <w:rFonts w:hint="eastAsia" w:ascii="仿宋" w:hAnsi="仿宋"/>
          <w:lang w:val="en-US" w:eastAsia="zh-CN"/>
        </w:rPr>
        <w:t>-19.96</w:t>
      </w:r>
      <w:r>
        <w:rPr>
          <w:rFonts w:hint="eastAsia" w:ascii="仿宋" w:hAnsi="仿宋"/>
        </w:rPr>
        <w:t>%</w:t>
      </w:r>
      <w:r>
        <w:rPr>
          <w:rFonts w:ascii="仿宋" w:hAnsi="仿宋"/>
        </w:rPr>
        <w:t>/</w:t>
      </w:r>
      <w:r>
        <w:rPr>
          <w:rFonts w:hint="eastAsia" w:ascii="仿宋" w:hAnsi="仿宋"/>
          <w:lang w:val="en-US" w:eastAsia="zh-CN"/>
        </w:rPr>
        <w:t>9.60</w:t>
      </w:r>
      <w:r>
        <w:rPr>
          <w:rFonts w:hint="eastAsia" w:ascii="仿宋" w:hAnsi="仿宋"/>
        </w:rPr>
        <w:t>%/</w:t>
      </w:r>
      <w:r>
        <w:rPr>
          <w:rFonts w:hint="eastAsia" w:ascii="仿宋" w:hAnsi="仿宋"/>
          <w:lang w:val="en-US" w:eastAsia="zh-CN"/>
        </w:rPr>
        <w:t>11.02</w:t>
      </w:r>
      <w:r>
        <w:rPr>
          <w:rFonts w:hint="eastAsia" w:ascii="仿宋" w:hAnsi="仿宋"/>
        </w:rPr>
        <w:t>%</w:t>
      </w:r>
      <w:r>
        <w:rPr>
          <w:rFonts w:ascii="仿宋" w:hAnsi="仿宋"/>
        </w:rPr>
        <w:t>；净</w:t>
      </w:r>
      <w:r>
        <w:rPr>
          <w:rFonts w:hint="eastAsia" w:ascii="仿宋" w:hAnsi="仿宋"/>
        </w:rPr>
        <w:t>利润</w:t>
      </w:r>
      <w:r>
        <w:rPr>
          <w:rFonts w:ascii="仿宋" w:hAnsi="仿宋"/>
        </w:rPr>
        <w:t>为</w:t>
      </w:r>
      <w:r>
        <w:rPr>
          <w:rFonts w:hint="eastAsia" w:ascii="仿宋" w:hAnsi="仿宋"/>
          <w:lang w:val="en-US" w:eastAsia="zh-CN"/>
        </w:rPr>
        <w:t>-46,897</w:t>
      </w:r>
      <w:r>
        <w:rPr>
          <w:rFonts w:ascii="仿宋" w:hAnsi="仿宋"/>
        </w:rPr>
        <w:t>/</w:t>
      </w:r>
      <w:r>
        <w:rPr>
          <w:rFonts w:hint="eastAsia" w:ascii="仿宋" w:hAnsi="仿宋"/>
          <w:lang w:val="en-US" w:eastAsia="zh-CN"/>
        </w:rPr>
        <w:t>-40,805</w:t>
      </w:r>
      <w:r>
        <w:rPr>
          <w:rFonts w:hint="eastAsia" w:ascii="仿宋" w:hAnsi="仿宋"/>
        </w:rPr>
        <w:t>/</w:t>
      </w:r>
      <w:r>
        <w:rPr>
          <w:rFonts w:hint="eastAsia" w:ascii="仿宋" w:hAnsi="仿宋"/>
          <w:lang w:val="en-US" w:eastAsia="zh-CN"/>
        </w:rPr>
        <w:t>-36,326</w:t>
      </w:r>
      <w:r>
        <w:rPr>
          <w:rFonts w:hint="eastAsia" w:ascii="仿宋" w:hAnsi="仿宋"/>
        </w:rPr>
        <w:t>万</w:t>
      </w:r>
      <w:r>
        <w:rPr>
          <w:rFonts w:ascii="仿宋" w:hAnsi="仿宋"/>
        </w:rPr>
        <w:t>元，同比增速为</w:t>
      </w:r>
      <w:r>
        <w:rPr>
          <w:rFonts w:hint="eastAsia" w:ascii="仿宋" w:hAnsi="仿宋"/>
          <w:lang w:val="en-US" w:eastAsia="zh-CN"/>
        </w:rPr>
        <w:t>21.29</w:t>
      </w:r>
      <w:r>
        <w:rPr>
          <w:rFonts w:hint="eastAsia" w:ascii="仿宋" w:hAnsi="仿宋"/>
        </w:rPr>
        <w:t>%</w:t>
      </w:r>
      <w:r>
        <w:rPr>
          <w:rFonts w:ascii="仿宋" w:hAnsi="仿宋"/>
        </w:rPr>
        <w:t>/</w:t>
      </w:r>
      <w:r>
        <w:rPr>
          <w:rFonts w:hint="eastAsia" w:ascii="仿宋" w:hAnsi="仿宋"/>
          <w:lang w:val="en-US" w:eastAsia="zh-CN"/>
        </w:rPr>
        <w:t>12.99</w:t>
      </w:r>
      <w:r>
        <w:rPr>
          <w:rFonts w:hint="eastAsia" w:ascii="仿宋" w:hAnsi="仿宋"/>
        </w:rPr>
        <w:t>%/</w:t>
      </w:r>
      <w:r>
        <w:rPr>
          <w:rFonts w:hint="eastAsia" w:ascii="仿宋" w:hAnsi="仿宋"/>
          <w:lang w:val="en-US" w:eastAsia="zh-CN"/>
        </w:rPr>
        <w:t>10.98</w:t>
      </w:r>
      <w:r>
        <w:rPr>
          <w:rFonts w:hint="eastAsia" w:ascii="仿宋" w:hAnsi="仿宋"/>
        </w:rPr>
        <w:t>%</w:t>
      </w:r>
      <w:r>
        <w:rPr>
          <w:rFonts w:ascii="仿宋" w:hAnsi="仿宋"/>
        </w:rPr>
        <w:t>。</w:t>
      </w:r>
    </w:p>
    <w:p>
      <w:pPr>
        <w:spacing w:line="480" w:lineRule="auto"/>
        <w:ind w:firstLine="0" w:firstLineChars="0"/>
        <w:jc w:val="center"/>
        <w:rPr>
          <w:sz w:val="20"/>
          <w:szCs w:val="20"/>
        </w:rPr>
      </w:pPr>
      <w:r>
        <w:rPr>
          <w:rFonts w:hint="eastAsia" w:ascii="黑体" w:hAnsi="黑体" w:eastAsia="黑体"/>
          <w:sz w:val="24"/>
          <w:szCs w:val="24"/>
        </w:rPr>
        <w:t>表</w:t>
      </w:r>
      <w:r>
        <w:rPr>
          <w:rFonts w:hint="eastAsia" w:ascii="黑体" w:hAnsi="黑体" w:eastAsia="黑体"/>
          <w:sz w:val="24"/>
          <w:szCs w:val="24"/>
          <w:lang w:val="en-US" w:eastAsia="zh-CN"/>
        </w:rPr>
        <w:t xml:space="preserve">8  </w:t>
      </w:r>
      <w:r>
        <w:rPr>
          <w:rFonts w:hint="eastAsia" w:ascii="黑体" w:hAnsi="黑体" w:eastAsia="黑体"/>
          <w:sz w:val="24"/>
          <w:szCs w:val="24"/>
          <w:lang w:eastAsia="zh-CN"/>
        </w:rPr>
        <w:t>亿利洁能</w:t>
      </w:r>
      <w:r>
        <w:rPr>
          <w:rFonts w:hint="eastAsia" w:ascii="黑体" w:hAnsi="黑体" w:eastAsia="黑体"/>
          <w:sz w:val="24"/>
          <w:szCs w:val="24"/>
        </w:rPr>
        <w:t>未来三年财务预测</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8"/>
        <w:gridCol w:w="963"/>
        <w:gridCol w:w="963"/>
        <w:gridCol w:w="963"/>
        <w:gridCol w:w="963"/>
        <w:gridCol w:w="964"/>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主要财务指标</w:t>
            </w:r>
          </w:p>
        </w:tc>
        <w:tc>
          <w:tcPr>
            <w:tcW w:w="56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2021A</w:t>
            </w:r>
          </w:p>
        </w:tc>
        <w:tc>
          <w:tcPr>
            <w:tcW w:w="56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2022A</w:t>
            </w:r>
          </w:p>
        </w:tc>
        <w:tc>
          <w:tcPr>
            <w:tcW w:w="56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2023A</w:t>
            </w:r>
          </w:p>
        </w:tc>
        <w:tc>
          <w:tcPr>
            <w:tcW w:w="56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2024E</w:t>
            </w:r>
          </w:p>
        </w:tc>
        <w:tc>
          <w:tcPr>
            <w:tcW w:w="565"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2025E</w:t>
            </w:r>
          </w:p>
        </w:tc>
        <w:tc>
          <w:tcPr>
            <w:tcW w:w="528"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tabs>
                <w:tab w:val="clear" w:pos="0"/>
              </w:tabs>
              <w:adjustRightInd/>
              <w:ind w:firstLine="0" w:firstLineChars="0"/>
              <w:rPr>
                <w:rFonts w:hint="eastAsia" w:ascii="仿宋" w:hAnsi="仿宋" w:cs="宋体"/>
                <w:b/>
                <w:bCs/>
                <w:color w:val="000000"/>
                <w:kern w:val="0"/>
                <w:sz w:val="16"/>
                <w:szCs w:val="16"/>
                <w:lang w:val="en-US" w:eastAsia="zh-CN"/>
              </w:rPr>
            </w:pPr>
            <w:r>
              <w:rPr>
                <w:rFonts w:hint="eastAsia" w:ascii="仿宋" w:hAnsi="仿宋" w:cs="宋体"/>
                <w:b/>
                <w:bCs/>
                <w:color w:val="000000"/>
                <w:kern w:val="0"/>
                <w:sz w:val="16"/>
                <w:szCs w:val="16"/>
                <w:lang w:val="en-US" w:eastAsia="zh-CN"/>
              </w:rPr>
              <w:t>2026E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营业收入（万元）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1,243,877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1,117,816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876,130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701,275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768,583</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853,280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营业收入同比增长率（%）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-10.13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-21.62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-19.96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9.60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税后经营利润（万元）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26,664</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23,815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-114,350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-111,117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-102,121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-97,642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税后经营利润同比增长率（%）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-10.69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-580.16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2.83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净利润（万元）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84,768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93,116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-59,585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-46,897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-40,805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-36,326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净利润同比增长率（%）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30.08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9.85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-163.99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21.29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12.99</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152,277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147,473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-19,593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-32,181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-33,421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-34,925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EBIT同比增长率（%）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5.19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-3.15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-113.29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-64.25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-3.85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EBITDA（万元）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232,883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225,909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63,951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212,499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213,211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209,445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EBITDA同比增长率（%）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2.56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-2.99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-71.69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232.28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0.34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销售毛利率（%）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14.83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14.31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6.78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-3.70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-2.76</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销售净利率（%）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6.81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8.33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-6.80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-6.69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-5.31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PE（当前股价/EPS）</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3.70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-14.60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-17.71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PB（当前股价/BPS）</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净资产收益率（%）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4.91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4.33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-3.30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-1.14</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-0.95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总资产收益率（%）</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2.35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2.08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-1.73</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-0.65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clear" w:pos="0"/>
              </w:tabs>
              <w:adjustRightInd/>
              <w:ind w:firstLine="0" w:firstLineChars="0"/>
              <w:rPr>
                <w:rFonts w:hint="eastAsia" w:ascii="仿宋" w:hAnsi="仿宋" w:cs="宋体"/>
                <w:color w:val="000000"/>
                <w:kern w:val="0"/>
                <w:sz w:val="16"/>
                <w:szCs w:val="16"/>
                <w:lang w:val="en-US" w:eastAsia="zh-CN"/>
              </w:rPr>
            </w:pPr>
            <w:r>
              <w:rPr>
                <w:rFonts w:hint="eastAsia" w:ascii="仿宋" w:hAnsi="仿宋" w:cs="宋体"/>
                <w:color w:val="000000"/>
                <w:kern w:val="0"/>
                <w:sz w:val="16"/>
                <w:szCs w:val="16"/>
                <w:lang w:val="en-US" w:eastAsia="zh-CN"/>
              </w:rPr>
              <w:t>-0.52</w:t>
            </w:r>
          </w:p>
        </w:tc>
      </w:tr>
    </w:tbl>
    <w:p>
      <w:pPr>
        <w:wordWrap w:val="0"/>
        <w:ind w:firstLine="400"/>
        <w:jc w:val="right"/>
        <w:rPr>
          <w:sz w:val="20"/>
          <w:szCs w:val="20"/>
        </w:rPr>
      </w:pPr>
      <w:r>
        <w:rPr>
          <w:sz w:val="20"/>
          <w:szCs w:val="20"/>
        </w:rPr>
        <w:t>数据来源：同花顺iFinD</w:t>
      </w:r>
    </w:p>
    <w:p>
      <w:pPr>
        <w:ind w:firstLine="56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right" w:y="1"/>
      <w:ind w:firstLine="360"/>
      <w:rPr>
        <w:rStyle w:val="26"/>
      </w:rPr>
    </w:pPr>
    <w:r>
      <w:rPr>
        <w:rStyle w:val="26"/>
      </w:rPr>
      <w:fldChar w:fldCharType="begin"/>
    </w:r>
    <w:r>
      <w:rPr>
        <w:rStyle w:val="26"/>
      </w:rPr>
      <w:instrText xml:space="preserve"> PAGE </w:instrText>
    </w:r>
    <w:r>
      <w:rPr>
        <w:rStyle w:val="26"/>
      </w:rPr>
      <w:fldChar w:fldCharType="separate"/>
    </w:r>
    <w:r>
      <w:rPr>
        <w:rStyle w:val="26"/>
      </w:rPr>
      <w:t>2</w:t>
    </w:r>
    <w:r>
      <w:rPr>
        <w:rStyle w:val="26"/>
      </w:rPr>
      <w:fldChar w:fldCharType="end"/>
    </w:r>
  </w:p>
  <w:p>
    <w:pPr>
      <w:pStyle w:val="13"/>
      <w:ind w:right="361" w:rightChars="129"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right" w:y="1"/>
      <w:ind w:firstLine="360"/>
      <w:rPr>
        <w:rStyle w:val="26"/>
      </w:rPr>
    </w:pPr>
    <w:r>
      <w:rPr>
        <w:rStyle w:val="26"/>
      </w:rPr>
      <w:fldChar w:fldCharType="begin"/>
    </w:r>
    <w:r>
      <w:rPr>
        <w:rStyle w:val="26"/>
      </w:rPr>
      <w:instrText xml:space="preserve"> PAGE </w:instrText>
    </w:r>
    <w:r>
      <w:rPr>
        <w:rStyle w:val="26"/>
      </w:rP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right" w:y="1"/>
      <w:ind w:firstLine="360"/>
      <w:rPr>
        <w:rStyle w:val="26"/>
      </w:rPr>
    </w:pP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p>
  <w:p>
    <w:pPr>
      <w:pStyle w:val="13"/>
      <w:ind w:right="361" w:rightChars="129"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400"/>
      <w:jc w:val="right"/>
      <w:rPr>
        <w:sz w:val="20"/>
        <w:szCs w:val="20"/>
      </w:rPr>
    </w:pPr>
    <w:r>
      <w:rPr>
        <w:rFonts w:hint="eastAsia"/>
        <w:sz w:val="20"/>
        <w:szCs w:val="20"/>
      </w:rPr>
      <w:t>上市公司分析研究报告——</w:t>
    </w:r>
    <w:r>
      <w:rPr>
        <w:rFonts w:hint="eastAsia"/>
        <w:sz w:val="20"/>
        <w:szCs w:val="20"/>
        <w:lang w:eastAsia="zh-CN"/>
      </w:rPr>
      <w:t>亿利洁能</w:t>
    </w:r>
    <w:r>
      <w:rPr>
        <w:rFonts w:hint="eastAsia"/>
        <w:sz w:val="20"/>
        <w:szCs w:val="20"/>
      </w:rPr>
      <w:t>（</w:t>
    </w:r>
    <w:r>
      <w:rPr>
        <w:rFonts w:hint="eastAsia"/>
        <w:sz w:val="20"/>
        <w:szCs w:val="20"/>
        <w:lang w:val="en-US" w:eastAsia="zh-CN"/>
      </w:rPr>
      <w:t>600277</w:t>
    </w:r>
    <w:r>
      <w:rPr>
        <w:rFonts w:hint="eastAsia"/>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right"/>
    </w:pPr>
    <w:r>
      <w:drawing>
        <wp:inline distT="0" distB="0" distL="0" distR="0">
          <wp:extent cx="2181860" cy="416560"/>
          <wp:effectExtent l="0" t="0" r="0" b="0"/>
          <wp:docPr id="833340685" name="图片 541195943"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40685" name="图片 541195943" descr="文本&#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81860" cy="416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67"/>
    <w:rsid w:val="000014DC"/>
    <w:rsid w:val="00015059"/>
    <w:rsid w:val="000356E4"/>
    <w:rsid w:val="000541EF"/>
    <w:rsid w:val="00057577"/>
    <w:rsid w:val="00061D57"/>
    <w:rsid w:val="000638B8"/>
    <w:rsid w:val="0006496E"/>
    <w:rsid w:val="00067AB2"/>
    <w:rsid w:val="00067B31"/>
    <w:rsid w:val="00070D69"/>
    <w:rsid w:val="000756AE"/>
    <w:rsid w:val="00080161"/>
    <w:rsid w:val="00081902"/>
    <w:rsid w:val="00086512"/>
    <w:rsid w:val="000907E7"/>
    <w:rsid w:val="00095FE4"/>
    <w:rsid w:val="000A092F"/>
    <w:rsid w:val="000A1804"/>
    <w:rsid w:val="000A3CE8"/>
    <w:rsid w:val="000A4DB9"/>
    <w:rsid w:val="000A6197"/>
    <w:rsid w:val="000A711C"/>
    <w:rsid w:val="000B467C"/>
    <w:rsid w:val="000B62F8"/>
    <w:rsid w:val="000B65BD"/>
    <w:rsid w:val="000B68B5"/>
    <w:rsid w:val="000C178F"/>
    <w:rsid w:val="000C42FC"/>
    <w:rsid w:val="000D5AFC"/>
    <w:rsid w:val="000E1452"/>
    <w:rsid w:val="000E2634"/>
    <w:rsid w:val="000E38AC"/>
    <w:rsid w:val="000E5EB5"/>
    <w:rsid w:val="000E6B3A"/>
    <w:rsid w:val="000F43D8"/>
    <w:rsid w:val="001050B1"/>
    <w:rsid w:val="00106AC2"/>
    <w:rsid w:val="00112466"/>
    <w:rsid w:val="00114A74"/>
    <w:rsid w:val="00117482"/>
    <w:rsid w:val="00120C3A"/>
    <w:rsid w:val="0014227D"/>
    <w:rsid w:val="00145B7B"/>
    <w:rsid w:val="0015711F"/>
    <w:rsid w:val="00157901"/>
    <w:rsid w:val="001603EF"/>
    <w:rsid w:val="0016163F"/>
    <w:rsid w:val="00166EBF"/>
    <w:rsid w:val="00167809"/>
    <w:rsid w:val="00177F8A"/>
    <w:rsid w:val="00180B48"/>
    <w:rsid w:val="001900CF"/>
    <w:rsid w:val="0019111D"/>
    <w:rsid w:val="00192E73"/>
    <w:rsid w:val="0019676B"/>
    <w:rsid w:val="001A20ED"/>
    <w:rsid w:val="001A7F4E"/>
    <w:rsid w:val="001B0B69"/>
    <w:rsid w:val="001B41AF"/>
    <w:rsid w:val="001B7654"/>
    <w:rsid w:val="001B7C2C"/>
    <w:rsid w:val="001C22E2"/>
    <w:rsid w:val="001C61E3"/>
    <w:rsid w:val="001D0133"/>
    <w:rsid w:val="001D0C2D"/>
    <w:rsid w:val="001E1401"/>
    <w:rsid w:val="001E38A8"/>
    <w:rsid w:val="001F077C"/>
    <w:rsid w:val="001F116A"/>
    <w:rsid w:val="001F3F53"/>
    <w:rsid w:val="00201492"/>
    <w:rsid w:val="002051D1"/>
    <w:rsid w:val="00206EDD"/>
    <w:rsid w:val="002121D8"/>
    <w:rsid w:val="002209B9"/>
    <w:rsid w:val="002255C5"/>
    <w:rsid w:val="002267DD"/>
    <w:rsid w:val="002337A2"/>
    <w:rsid w:val="00236E90"/>
    <w:rsid w:val="00253629"/>
    <w:rsid w:val="00257B7C"/>
    <w:rsid w:val="00260FA0"/>
    <w:rsid w:val="00262E1C"/>
    <w:rsid w:val="0027544E"/>
    <w:rsid w:val="00275EC3"/>
    <w:rsid w:val="002862AA"/>
    <w:rsid w:val="00290E38"/>
    <w:rsid w:val="00294870"/>
    <w:rsid w:val="00294945"/>
    <w:rsid w:val="002A7552"/>
    <w:rsid w:val="002B07BF"/>
    <w:rsid w:val="002B22CF"/>
    <w:rsid w:val="002B317B"/>
    <w:rsid w:val="002C121D"/>
    <w:rsid w:val="002C400E"/>
    <w:rsid w:val="002C5C55"/>
    <w:rsid w:val="002D2987"/>
    <w:rsid w:val="002D3E5E"/>
    <w:rsid w:val="002D5D7F"/>
    <w:rsid w:val="002E127A"/>
    <w:rsid w:val="002E27BE"/>
    <w:rsid w:val="002E6120"/>
    <w:rsid w:val="002E7232"/>
    <w:rsid w:val="002F19CB"/>
    <w:rsid w:val="002F3F8B"/>
    <w:rsid w:val="002F44AD"/>
    <w:rsid w:val="003032E9"/>
    <w:rsid w:val="00303668"/>
    <w:rsid w:val="00310522"/>
    <w:rsid w:val="00310DE4"/>
    <w:rsid w:val="003137FA"/>
    <w:rsid w:val="00321F3D"/>
    <w:rsid w:val="00322A31"/>
    <w:rsid w:val="00324392"/>
    <w:rsid w:val="00324DDD"/>
    <w:rsid w:val="0032608A"/>
    <w:rsid w:val="003341F9"/>
    <w:rsid w:val="00341548"/>
    <w:rsid w:val="003514AE"/>
    <w:rsid w:val="00354338"/>
    <w:rsid w:val="003550BA"/>
    <w:rsid w:val="00355303"/>
    <w:rsid w:val="003762F8"/>
    <w:rsid w:val="0039478A"/>
    <w:rsid w:val="003A18DC"/>
    <w:rsid w:val="003A2D20"/>
    <w:rsid w:val="003B1391"/>
    <w:rsid w:val="003B70F2"/>
    <w:rsid w:val="003C27C2"/>
    <w:rsid w:val="003C56A3"/>
    <w:rsid w:val="003C60A6"/>
    <w:rsid w:val="003D014F"/>
    <w:rsid w:val="003D03A0"/>
    <w:rsid w:val="003D6A19"/>
    <w:rsid w:val="003E2614"/>
    <w:rsid w:val="003E2D7A"/>
    <w:rsid w:val="003E57B8"/>
    <w:rsid w:val="003E72F7"/>
    <w:rsid w:val="003F2556"/>
    <w:rsid w:val="00400BD8"/>
    <w:rsid w:val="0041005C"/>
    <w:rsid w:val="00414646"/>
    <w:rsid w:val="004160A4"/>
    <w:rsid w:val="00416D9B"/>
    <w:rsid w:val="00422134"/>
    <w:rsid w:val="00424E75"/>
    <w:rsid w:val="00425839"/>
    <w:rsid w:val="0043174E"/>
    <w:rsid w:val="004333A6"/>
    <w:rsid w:val="00433A4B"/>
    <w:rsid w:val="00435235"/>
    <w:rsid w:val="00440B13"/>
    <w:rsid w:val="00447AB1"/>
    <w:rsid w:val="00455C13"/>
    <w:rsid w:val="00455E9E"/>
    <w:rsid w:val="004607AC"/>
    <w:rsid w:val="004645D4"/>
    <w:rsid w:val="004729C3"/>
    <w:rsid w:val="004835F5"/>
    <w:rsid w:val="00485265"/>
    <w:rsid w:val="00490976"/>
    <w:rsid w:val="00492B3E"/>
    <w:rsid w:val="00495622"/>
    <w:rsid w:val="004A2FBA"/>
    <w:rsid w:val="004A3BBC"/>
    <w:rsid w:val="004A7458"/>
    <w:rsid w:val="004A7EA4"/>
    <w:rsid w:val="004B23F4"/>
    <w:rsid w:val="004C4EFE"/>
    <w:rsid w:val="004C627B"/>
    <w:rsid w:val="004D3672"/>
    <w:rsid w:val="004D5CF8"/>
    <w:rsid w:val="004D6204"/>
    <w:rsid w:val="004F05C6"/>
    <w:rsid w:val="00510EEB"/>
    <w:rsid w:val="00514619"/>
    <w:rsid w:val="0052109C"/>
    <w:rsid w:val="0052217C"/>
    <w:rsid w:val="00546E8F"/>
    <w:rsid w:val="0055480D"/>
    <w:rsid w:val="00555E7A"/>
    <w:rsid w:val="005579B4"/>
    <w:rsid w:val="005636C9"/>
    <w:rsid w:val="00563A9D"/>
    <w:rsid w:val="00566405"/>
    <w:rsid w:val="005714B5"/>
    <w:rsid w:val="00571BC5"/>
    <w:rsid w:val="00571DB4"/>
    <w:rsid w:val="00574EC8"/>
    <w:rsid w:val="00576B9D"/>
    <w:rsid w:val="005839CD"/>
    <w:rsid w:val="005869A5"/>
    <w:rsid w:val="00587B52"/>
    <w:rsid w:val="00591DEE"/>
    <w:rsid w:val="005A5E10"/>
    <w:rsid w:val="005A76B1"/>
    <w:rsid w:val="005B10A9"/>
    <w:rsid w:val="005C176A"/>
    <w:rsid w:val="005C3CA7"/>
    <w:rsid w:val="005C6224"/>
    <w:rsid w:val="005D322C"/>
    <w:rsid w:val="005D3F3F"/>
    <w:rsid w:val="005D4A81"/>
    <w:rsid w:val="005D5D69"/>
    <w:rsid w:val="005F3A78"/>
    <w:rsid w:val="0061035C"/>
    <w:rsid w:val="006113EC"/>
    <w:rsid w:val="006222EA"/>
    <w:rsid w:val="00624234"/>
    <w:rsid w:val="00625327"/>
    <w:rsid w:val="00632236"/>
    <w:rsid w:val="0063699E"/>
    <w:rsid w:val="006448FB"/>
    <w:rsid w:val="00647454"/>
    <w:rsid w:val="006479B9"/>
    <w:rsid w:val="00654D36"/>
    <w:rsid w:val="006569CC"/>
    <w:rsid w:val="0067374C"/>
    <w:rsid w:val="0068574F"/>
    <w:rsid w:val="006918AC"/>
    <w:rsid w:val="00692276"/>
    <w:rsid w:val="00695494"/>
    <w:rsid w:val="006C2D1F"/>
    <w:rsid w:val="006C4943"/>
    <w:rsid w:val="006C5008"/>
    <w:rsid w:val="006C6AEB"/>
    <w:rsid w:val="006D6DB0"/>
    <w:rsid w:val="006E27F8"/>
    <w:rsid w:val="006E29D6"/>
    <w:rsid w:val="006E3B3B"/>
    <w:rsid w:val="006E3BAE"/>
    <w:rsid w:val="006E67F3"/>
    <w:rsid w:val="006E6EAD"/>
    <w:rsid w:val="006E78CB"/>
    <w:rsid w:val="006F258E"/>
    <w:rsid w:val="006F613F"/>
    <w:rsid w:val="006F626A"/>
    <w:rsid w:val="006F7394"/>
    <w:rsid w:val="007035FA"/>
    <w:rsid w:val="0071118A"/>
    <w:rsid w:val="00712261"/>
    <w:rsid w:val="007139D5"/>
    <w:rsid w:val="00726448"/>
    <w:rsid w:val="00731040"/>
    <w:rsid w:val="007356D7"/>
    <w:rsid w:val="007362F9"/>
    <w:rsid w:val="00744C92"/>
    <w:rsid w:val="007462B1"/>
    <w:rsid w:val="00752547"/>
    <w:rsid w:val="0075419B"/>
    <w:rsid w:val="00763329"/>
    <w:rsid w:val="00763C9D"/>
    <w:rsid w:val="0076400C"/>
    <w:rsid w:val="007659E6"/>
    <w:rsid w:val="00775A5A"/>
    <w:rsid w:val="00776A49"/>
    <w:rsid w:val="00780689"/>
    <w:rsid w:val="00787195"/>
    <w:rsid w:val="0078752F"/>
    <w:rsid w:val="00794B78"/>
    <w:rsid w:val="007A1FC2"/>
    <w:rsid w:val="007A3051"/>
    <w:rsid w:val="007A4B75"/>
    <w:rsid w:val="007A6368"/>
    <w:rsid w:val="007A6C4C"/>
    <w:rsid w:val="007C2DC7"/>
    <w:rsid w:val="007D5C83"/>
    <w:rsid w:val="007E1B17"/>
    <w:rsid w:val="00802C2D"/>
    <w:rsid w:val="00802C3A"/>
    <w:rsid w:val="00804658"/>
    <w:rsid w:val="008077F8"/>
    <w:rsid w:val="00812630"/>
    <w:rsid w:val="008172B8"/>
    <w:rsid w:val="008226B0"/>
    <w:rsid w:val="00825ED3"/>
    <w:rsid w:val="00826999"/>
    <w:rsid w:val="008274B8"/>
    <w:rsid w:val="00835E28"/>
    <w:rsid w:val="00844723"/>
    <w:rsid w:val="0084658A"/>
    <w:rsid w:val="00846A70"/>
    <w:rsid w:val="00852BE5"/>
    <w:rsid w:val="00855B95"/>
    <w:rsid w:val="0085618B"/>
    <w:rsid w:val="0087547F"/>
    <w:rsid w:val="00882A51"/>
    <w:rsid w:val="008841B1"/>
    <w:rsid w:val="00887DEB"/>
    <w:rsid w:val="008A47DA"/>
    <w:rsid w:val="008B6F04"/>
    <w:rsid w:val="008B7429"/>
    <w:rsid w:val="008C1698"/>
    <w:rsid w:val="008C4091"/>
    <w:rsid w:val="008C4BC6"/>
    <w:rsid w:val="008C4C63"/>
    <w:rsid w:val="008D10F3"/>
    <w:rsid w:val="008D5A65"/>
    <w:rsid w:val="008D6550"/>
    <w:rsid w:val="008D70E7"/>
    <w:rsid w:val="008E068E"/>
    <w:rsid w:val="008E1513"/>
    <w:rsid w:val="008E276E"/>
    <w:rsid w:val="008E2DD4"/>
    <w:rsid w:val="008E48C4"/>
    <w:rsid w:val="008F32E0"/>
    <w:rsid w:val="008F7DEB"/>
    <w:rsid w:val="009033A6"/>
    <w:rsid w:val="00912218"/>
    <w:rsid w:val="00912AC1"/>
    <w:rsid w:val="00913CAD"/>
    <w:rsid w:val="0092195A"/>
    <w:rsid w:val="00927578"/>
    <w:rsid w:val="0093366A"/>
    <w:rsid w:val="009353AE"/>
    <w:rsid w:val="0094388B"/>
    <w:rsid w:val="00945443"/>
    <w:rsid w:val="009528D4"/>
    <w:rsid w:val="00955CC8"/>
    <w:rsid w:val="00963729"/>
    <w:rsid w:val="009671E8"/>
    <w:rsid w:val="0097541A"/>
    <w:rsid w:val="009778B3"/>
    <w:rsid w:val="00984F82"/>
    <w:rsid w:val="00992DA6"/>
    <w:rsid w:val="00996018"/>
    <w:rsid w:val="00997F05"/>
    <w:rsid w:val="009A16EF"/>
    <w:rsid w:val="009A39F2"/>
    <w:rsid w:val="009A4A3A"/>
    <w:rsid w:val="009B46DB"/>
    <w:rsid w:val="009C1377"/>
    <w:rsid w:val="009C16CD"/>
    <w:rsid w:val="009C3789"/>
    <w:rsid w:val="009E442D"/>
    <w:rsid w:val="009E6181"/>
    <w:rsid w:val="009F4242"/>
    <w:rsid w:val="009F53E6"/>
    <w:rsid w:val="00A03E6F"/>
    <w:rsid w:val="00A0415C"/>
    <w:rsid w:val="00A12E98"/>
    <w:rsid w:val="00A31F04"/>
    <w:rsid w:val="00A327F0"/>
    <w:rsid w:val="00A360CF"/>
    <w:rsid w:val="00A36A57"/>
    <w:rsid w:val="00A41AC7"/>
    <w:rsid w:val="00A42965"/>
    <w:rsid w:val="00A43CEC"/>
    <w:rsid w:val="00A5504B"/>
    <w:rsid w:val="00A57CDB"/>
    <w:rsid w:val="00A72AD7"/>
    <w:rsid w:val="00A74D79"/>
    <w:rsid w:val="00A813C7"/>
    <w:rsid w:val="00A84EC3"/>
    <w:rsid w:val="00A920CE"/>
    <w:rsid w:val="00A947D7"/>
    <w:rsid w:val="00AA602A"/>
    <w:rsid w:val="00AB583C"/>
    <w:rsid w:val="00AB586E"/>
    <w:rsid w:val="00AB6652"/>
    <w:rsid w:val="00AB776D"/>
    <w:rsid w:val="00AC1489"/>
    <w:rsid w:val="00AC67BD"/>
    <w:rsid w:val="00AC7632"/>
    <w:rsid w:val="00AC7D27"/>
    <w:rsid w:val="00AD69DB"/>
    <w:rsid w:val="00AE7168"/>
    <w:rsid w:val="00AF3968"/>
    <w:rsid w:val="00B02A11"/>
    <w:rsid w:val="00B03D99"/>
    <w:rsid w:val="00B06439"/>
    <w:rsid w:val="00B1066A"/>
    <w:rsid w:val="00B204BB"/>
    <w:rsid w:val="00B220DA"/>
    <w:rsid w:val="00B309DA"/>
    <w:rsid w:val="00B34170"/>
    <w:rsid w:val="00B41609"/>
    <w:rsid w:val="00B47054"/>
    <w:rsid w:val="00B5281C"/>
    <w:rsid w:val="00B57F2A"/>
    <w:rsid w:val="00B6172A"/>
    <w:rsid w:val="00B627B0"/>
    <w:rsid w:val="00B6418A"/>
    <w:rsid w:val="00B65F05"/>
    <w:rsid w:val="00B74860"/>
    <w:rsid w:val="00B74B4A"/>
    <w:rsid w:val="00B8068B"/>
    <w:rsid w:val="00B85009"/>
    <w:rsid w:val="00B86DF1"/>
    <w:rsid w:val="00B933DC"/>
    <w:rsid w:val="00B946EE"/>
    <w:rsid w:val="00B978A0"/>
    <w:rsid w:val="00BA00B8"/>
    <w:rsid w:val="00BC69F4"/>
    <w:rsid w:val="00BE2385"/>
    <w:rsid w:val="00BF1044"/>
    <w:rsid w:val="00BF35B8"/>
    <w:rsid w:val="00BF6827"/>
    <w:rsid w:val="00C01016"/>
    <w:rsid w:val="00C02D0C"/>
    <w:rsid w:val="00C04091"/>
    <w:rsid w:val="00C10BA5"/>
    <w:rsid w:val="00C10C8C"/>
    <w:rsid w:val="00C125B5"/>
    <w:rsid w:val="00C16EE0"/>
    <w:rsid w:val="00C17DEC"/>
    <w:rsid w:val="00C20F5E"/>
    <w:rsid w:val="00C21816"/>
    <w:rsid w:val="00C231C3"/>
    <w:rsid w:val="00C261F1"/>
    <w:rsid w:val="00C2625D"/>
    <w:rsid w:val="00C31F46"/>
    <w:rsid w:val="00C327C8"/>
    <w:rsid w:val="00C34DAA"/>
    <w:rsid w:val="00C35432"/>
    <w:rsid w:val="00C478E8"/>
    <w:rsid w:val="00C50145"/>
    <w:rsid w:val="00C571DA"/>
    <w:rsid w:val="00C6164B"/>
    <w:rsid w:val="00C65F69"/>
    <w:rsid w:val="00C679E9"/>
    <w:rsid w:val="00C72757"/>
    <w:rsid w:val="00C74271"/>
    <w:rsid w:val="00C7625D"/>
    <w:rsid w:val="00C7730E"/>
    <w:rsid w:val="00C91057"/>
    <w:rsid w:val="00C91D4B"/>
    <w:rsid w:val="00C9380D"/>
    <w:rsid w:val="00C97D0F"/>
    <w:rsid w:val="00CA06AF"/>
    <w:rsid w:val="00CB1699"/>
    <w:rsid w:val="00CC070B"/>
    <w:rsid w:val="00CC694E"/>
    <w:rsid w:val="00CD3071"/>
    <w:rsid w:val="00CD5261"/>
    <w:rsid w:val="00CD6187"/>
    <w:rsid w:val="00CE0926"/>
    <w:rsid w:val="00CE22E6"/>
    <w:rsid w:val="00CE69C7"/>
    <w:rsid w:val="00CE7BC5"/>
    <w:rsid w:val="00CF1566"/>
    <w:rsid w:val="00CF171B"/>
    <w:rsid w:val="00D002E8"/>
    <w:rsid w:val="00D01AB9"/>
    <w:rsid w:val="00D02E69"/>
    <w:rsid w:val="00D10043"/>
    <w:rsid w:val="00D1462F"/>
    <w:rsid w:val="00D27963"/>
    <w:rsid w:val="00D27A2A"/>
    <w:rsid w:val="00D30053"/>
    <w:rsid w:val="00D3119C"/>
    <w:rsid w:val="00D32435"/>
    <w:rsid w:val="00D47D74"/>
    <w:rsid w:val="00D52DE1"/>
    <w:rsid w:val="00D550D4"/>
    <w:rsid w:val="00D55C78"/>
    <w:rsid w:val="00D64264"/>
    <w:rsid w:val="00D64BF7"/>
    <w:rsid w:val="00D71161"/>
    <w:rsid w:val="00D74631"/>
    <w:rsid w:val="00D92289"/>
    <w:rsid w:val="00D97636"/>
    <w:rsid w:val="00DA047D"/>
    <w:rsid w:val="00DA0AFE"/>
    <w:rsid w:val="00DA0FC2"/>
    <w:rsid w:val="00DA62B1"/>
    <w:rsid w:val="00DA6F80"/>
    <w:rsid w:val="00DB2D29"/>
    <w:rsid w:val="00DB6365"/>
    <w:rsid w:val="00DE2AF8"/>
    <w:rsid w:val="00DE34BE"/>
    <w:rsid w:val="00DF2ACB"/>
    <w:rsid w:val="00DF401F"/>
    <w:rsid w:val="00DF4AEC"/>
    <w:rsid w:val="00E041B8"/>
    <w:rsid w:val="00E06629"/>
    <w:rsid w:val="00E072BD"/>
    <w:rsid w:val="00E14E63"/>
    <w:rsid w:val="00E24E51"/>
    <w:rsid w:val="00E357F3"/>
    <w:rsid w:val="00E40E3C"/>
    <w:rsid w:val="00E42CB7"/>
    <w:rsid w:val="00E44E51"/>
    <w:rsid w:val="00E51D65"/>
    <w:rsid w:val="00E60F49"/>
    <w:rsid w:val="00E61C8A"/>
    <w:rsid w:val="00E65976"/>
    <w:rsid w:val="00E72695"/>
    <w:rsid w:val="00E761FF"/>
    <w:rsid w:val="00E81A23"/>
    <w:rsid w:val="00E83639"/>
    <w:rsid w:val="00E85405"/>
    <w:rsid w:val="00E87A94"/>
    <w:rsid w:val="00E96445"/>
    <w:rsid w:val="00EA6C49"/>
    <w:rsid w:val="00EB0EE0"/>
    <w:rsid w:val="00EB1E90"/>
    <w:rsid w:val="00EB2C67"/>
    <w:rsid w:val="00EB7F18"/>
    <w:rsid w:val="00EC0108"/>
    <w:rsid w:val="00EC1001"/>
    <w:rsid w:val="00EC152C"/>
    <w:rsid w:val="00EC35D3"/>
    <w:rsid w:val="00EC5DFE"/>
    <w:rsid w:val="00ED0309"/>
    <w:rsid w:val="00ED5DEF"/>
    <w:rsid w:val="00ED6849"/>
    <w:rsid w:val="00EE07B8"/>
    <w:rsid w:val="00EE1D5C"/>
    <w:rsid w:val="00EE1F5A"/>
    <w:rsid w:val="00EF061E"/>
    <w:rsid w:val="00EF12C6"/>
    <w:rsid w:val="00EF2CE1"/>
    <w:rsid w:val="00EF40B9"/>
    <w:rsid w:val="00EF7D93"/>
    <w:rsid w:val="00F04D4C"/>
    <w:rsid w:val="00F0558F"/>
    <w:rsid w:val="00F14CC8"/>
    <w:rsid w:val="00F15002"/>
    <w:rsid w:val="00F15C99"/>
    <w:rsid w:val="00F25860"/>
    <w:rsid w:val="00F26EF6"/>
    <w:rsid w:val="00F3103D"/>
    <w:rsid w:val="00F31466"/>
    <w:rsid w:val="00F32B85"/>
    <w:rsid w:val="00F32DC1"/>
    <w:rsid w:val="00F43191"/>
    <w:rsid w:val="00F50371"/>
    <w:rsid w:val="00F5092D"/>
    <w:rsid w:val="00F50CEC"/>
    <w:rsid w:val="00F6336C"/>
    <w:rsid w:val="00F636E2"/>
    <w:rsid w:val="00F77408"/>
    <w:rsid w:val="00F85E3A"/>
    <w:rsid w:val="00F90043"/>
    <w:rsid w:val="00F917E1"/>
    <w:rsid w:val="00F96037"/>
    <w:rsid w:val="00FA09DB"/>
    <w:rsid w:val="00FB0698"/>
    <w:rsid w:val="00FB79D6"/>
    <w:rsid w:val="00FB7BAB"/>
    <w:rsid w:val="00FC22C9"/>
    <w:rsid w:val="00FC237F"/>
    <w:rsid w:val="00FC3D68"/>
    <w:rsid w:val="00FC4324"/>
    <w:rsid w:val="00FC624C"/>
    <w:rsid w:val="00FD02AF"/>
    <w:rsid w:val="00FD09BA"/>
    <w:rsid w:val="00FD18C5"/>
    <w:rsid w:val="00FD7D02"/>
    <w:rsid w:val="00FE0CD0"/>
    <w:rsid w:val="00FE2DA3"/>
    <w:rsid w:val="00FE42EE"/>
    <w:rsid w:val="00FF1E00"/>
    <w:rsid w:val="00FF34BA"/>
    <w:rsid w:val="00FF5A0C"/>
    <w:rsid w:val="00FF67F6"/>
    <w:rsid w:val="097629A5"/>
    <w:rsid w:val="0B0B2A1A"/>
    <w:rsid w:val="0CC32D9A"/>
    <w:rsid w:val="0FA201B4"/>
    <w:rsid w:val="0FEE38A7"/>
    <w:rsid w:val="112E5F08"/>
    <w:rsid w:val="13E447D9"/>
    <w:rsid w:val="14BF11A0"/>
    <w:rsid w:val="1FAD44B4"/>
    <w:rsid w:val="21A16940"/>
    <w:rsid w:val="24510446"/>
    <w:rsid w:val="273E0A8C"/>
    <w:rsid w:val="2F1E127D"/>
    <w:rsid w:val="3B3B6CD4"/>
    <w:rsid w:val="3D0F001F"/>
    <w:rsid w:val="3F2B2DCB"/>
    <w:rsid w:val="601768F9"/>
    <w:rsid w:val="62926DC6"/>
    <w:rsid w:val="63665520"/>
    <w:rsid w:val="70024E88"/>
    <w:rsid w:val="74293F47"/>
    <w:rsid w:val="75723A4C"/>
    <w:rsid w:val="79464C27"/>
    <w:rsid w:val="7AA36244"/>
    <w:rsid w:val="7F03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0"/>
      </w:tabs>
      <w:adjustRightInd w:val="0"/>
      <w:ind w:firstLine="200" w:firstLineChars="200"/>
      <w:jc w:val="both"/>
    </w:pPr>
    <w:rPr>
      <w:rFonts w:ascii="等线" w:hAnsi="等线" w:eastAsia="仿宋" w:cs="Times New Roman (正文 CS 字体)"/>
      <w:kern w:val="2"/>
      <w:sz w:val="28"/>
      <w:szCs w:val="28"/>
      <w:lang w:val="en-US" w:eastAsia="zh-CN" w:bidi="ar-SA"/>
    </w:rPr>
  </w:style>
  <w:style w:type="paragraph" w:styleId="2">
    <w:name w:val="heading 1"/>
    <w:basedOn w:val="1"/>
    <w:next w:val="1"/>
    <w:link w:val="30"/>
    <w:qFormat/>
    <w:uiPriority w:val="9"/>
    <w:pPr>
      <w:keepNext/>
      <w:keepLines/>
      <w:widowControl w:val="0"/>
      <w:tabs>
        <w:tab w:val="clear" w:pos="0"/>
      </w:tabs>
      <w:adjustRightInd/>
      <w:spacing w:before="480" w:after="80" w:line="278" w:lineRule="auto"/>
      <w:ind w:firstLine="0" w:firstLineChars="0"/>
      <w:jc w:val="left"/>
      <w:outlineLvl w:val="0"/>
    </w:pPr>
    <w:rPr>
      <w:rFonts w:ascii="等线 Light" w:hAnsi="等线 Light" w:eastAsia="等线 Light" w:cs="Times New Roman"/>
      <w:color w:val="0F4761"/>
      <w:sz w:val="48"/>
      <w:szCs w:val="48"/>
    </w:rPr>
  </w:style>
  <w:style w:type="paragraph" w:styleId="3">
    <w:name w:val="heading 2"/>
    <w:basedOn w:val="1"/>
    <w:next w:val="1"/>
    <w:link w:val="31"/>
    <w:unhideWhenUsed/>
    <w:qFormat/>
    <w:uiPriority w:val="0"/>
    <w:pPr>
      <w:keepNext/>
      <w:keepLines/>
      <w:widowControl w:val="0"/>
      <w:tabs>
        <w:tab w:val="clear" w:pos="0"/>
      </w:tabs>
      <w:adjustRightInd/>
      <w:spacing w:before="160" w:after="80" w:line="278" w:lineRule="auto"/>
      <w:ind w:firstLine="0" w:firstLineChars="0"/>
      <w:jc w:val="left"/>
      <w:outlineLvl w:val="1"/>
    </w:pPr>
    <w:rPr>
      <w:rFonts w:ascii="等线 Light" w:hAnsi="等线 Light" w:eastAsia="等线 Light" w:cs="Times New Roman"/>
      <w:color w:val="0F4761"/>
      <w:sz w:val="40"/>
      <w:szCs w:val="40"/>
    </w:rPr>
  </w:style>
  <w:style w:type="paragraph" w:styleId="4">
    <w:name w:val="heading 3"/>
    <w:basedOn w:val="1"/>
    <w:next w:val="1"/>
    <w:link w:val="32"/>
    <w:unhideWhenUsed/>
    <w:qFormat/>
    <w:uiPriority w:val="9"/>
    <w:pPr>
      <w:keepNext/>
      <w:keepLines/>
      <w:widowControl w:val="0"/>
      <w:tabs>
        <w:tab w:val="clear" w:pos="0"/>
      </w:tabs>
      <w:adjustRightInd/>
      <w:spacing w:before="160" w:after="80" w:line="278" w:lineRule="auto"/>
      <w:ind w:firstLine="0" w:firstLineChars="0"/>
      <w:jc w:val="left"/>
      <w:outlineLvl w:val="2"/>
    </w:pPr>
    <w:rPr>
      <w:rFonts w:ascii="等线 Light" w:hAnsi="等线 Light" w:eastAsia="等线 Light" w:cs="Times New Roman"/>
      <w:color w:val="0F4761"/>
      <w:sz w:val="32"/>
      <w:szCs w:val="32"/>
    </w:rPr>
  </w:style>
  <w:style w:type="paragraph" w:styleId="5">
    <w:name w:val="heading 4"/>
    <w:basedOn w:val="1"/>
    <w:next w:val="1"/>
    <w:link w:val="33"/>
    <w:semiHidden/>
    <w:unhideWhenUsed/>
    <w:qFormat/>
    <w:uiPriority w:val="9"/>
    <w:pPr>
      <w:keepNext/>
      <w:keepLines/>
      <w:widowControl w:val="0"/>
      <w:tabs>
        <w:tab w:val="clear" w:pos="0"/>
      </w:tabs>
      <w:adjustRightInd/>
      <w:spacing w:before="80" w:after="40" w:line="278" w:lineRule="auto"/>
      <w:ind w:firstLine="0" w:firstLineChars="0"/>
      <w:jc w:val="left"/>
      <w:outlineLvl w:val="3"/>
    </w:pPr>
    <w:rPr>
      <w:rFonts w:eastAsia="等线" w:cs="Times New Roman"/>
      <w:color w:val="0F4761"/>
    </w:rPr>
  </w:style>
  <w:style w:type="paragraph" w:styleId="6">
    <w:name w:val="heading 5"/>
    <w:basedOn w:val="1"/>
    <w:next w:val="1"/>
    <w:link w:val="34"/>
    <w:semiHidden/>
    <w:unhideWhenUsed/>
    <w:qFormat/>
    <w:uiPriority w:val="9"/>
    <w:pPr>
      <w:keepNext/>
      <w:keepLines/>
      <w:widowControl w:val="0"/>
      <w:tabs>
        <w:tab w:val="clear" w:pos="0"/>
      </w:tabs>
      <w:adjustRightInd/>
      <w:spacing w:before="80" w:after="40" w:line="278" w:lineRule="auto"/>
      <w:ind w:firstLine="0" w:firstLineChars="0"/>
      <w:jc w:val="left"/>
      <w:outlineLvl w:val="4"/>
    </w:pPr>
    <w:rPr>
      <w:rFonts w:eastAsia="等线" w:cs="Times New Roman"/>
      <w:color w:val="0F4761"/>
      <w:sz w:val="24"/>
      <w:szCs w:val="24"/>
    </w:rPr>
  </w:style>
  <w:style w:type="paragraph" w:styleId="7">
    <w:name w:val="heading 6"/>
    <w:basedOn w:val="1"/>
    <w:next w:val="1"/>
    <w:link w:val="35"/>
    <w:semiHidden/>
    <w:unhideWhenUsed/>
    <w:qFormat/>
    <w:uiPriority w:val="9"/>
    <w:pPr>
      <w:keepNext/>
      <w:keepLines/>
      <w:widowControl w:val="0"/>
      <w:tabs>
        <w:tab w:val="clear" w:pos="0"/>
      </w:tabs>
      <w:adjustRightInd/>
      <w:spacing w:before="40" w:line="278" w:lineRule="auto"/>
      <w:ind w:firstLine="0" w:firstLineChars="0"/>
      <w:jc w:val="left"/>
      <w:outlineLvl w:val="5"/>
    </w:pPr>
    <w:rPr>
      <w:rFonts w:eastAsia="等线" w:cs="Times New Roman"/>
      <w:b/>
      <w:bCs/>
      <w:color w:val="0F4761"/>
      <w:sz w:val="22"/>
      <w:szCs w:val="24"/>
    </w:rPr>
  </w:style>
  <w:style w:type="paragraph" w:styleId="8">
    <w:name w:val="heading 7"/>
    <w:basedOn w:val="1"/>
    <w:next w:val="1"/>
    <w:link w:val="36"/>
    <w:semiHidden/>
    <w:unhideWhenUsed/>
    <w:qFormat/>
    <w:uiPriority w:val="9"/>
    <w:pPr>
      <w:keepNext/>
      <w:keepLines/>
      <w:widowControl w:val="0"/>
      <w:tabs>
        <w:tab w:val="clear" w:pos="0"/>
      </w:tabs>
      <w:adjustRightInd/>
      <w:spacing w:before="40" w:line="278" w:lineRule="auto"/>
      <w:ind w:firstLine="0" w:firstLineChars="0"/>
      <w:jc w:val="left"/>
      <w:outlineLvl w:val="6"/>
    </w:pPr>
    <w:rPr>
      <w:rFonts w:eastAsia="等线" w:cs="Times New Roman"/>
      <w:b/>
      <w:bCs/>
      <w:color w:val="595959"/>
      <w:sz w:val="22"/>
      <w:szCs w:val="24"/>
    </w:rPr>
  </w:style>
  <w:style w:type="paragraph" w:styleId="9">
    <w:name w:val="heading 8"/>
    <w:basedOn w:val="1"/>
    <w:next w:val="1"/>
    <w:link w:val="37"/>
    <w:semiHidden/>
    <w:unhideWhenUsed/>
    <w:qFormat/>
    <w:uiPriority w:val="9"/>
    <w:pPr>
      <w:keepNext/>
      <w:keepLines/>
      <w:widowControl w:val="0"/>
      <w:tabs>
        <w:tab w:val="clear" w:pos="0"/>
      </w:tabs>
      <w:adjustRightInd/>
      <w:spacing w:line="278" w:lineRule="auto"/>
      <w:ind w:firstLine="0" w:firstLineChars="0"/>
      <w:jc w:val="left"/>
      <w:outlineLvl w:val="7"/>
    </w:pPr>
    <w:rPr>
      <w:rFonts w:eastAsia="等线" w:cs="Times New Roman"/>
      <w:color w:val="595959"/>
      <w:sz w:val="22"/>
      <w:szCs w:val="24"/>
    </w:rPr>
  </w:style>
  <w:style w:type="paragraph" w:styleId="10">
    <w:name w:val="heading 9"/>
    <w:basedOn w:val="1"/>
    <w:next w:val="1"/>
    <w:link w:val="38"/>
    <w:semiHidden/>
    <w:unhideWhenUsed/>
    <w:qFormat/>
    <w:uiPriority w:val="9"/>
    <w:pPr>
      <w:keepNext/>
      <w:keepLines/>
      <w:widowControl w:val="0"/>
      <w:tabs>
        <w:tab w:val="clear" w:pos="0"/>
      </w:tabs>
      <w:adjustRightInd/>
      <w:spacing w:line="278" w:lineRule="auto"/>
      <w:ind w:firstLine="0" w:firstLineChars="0"/>
      <w:jc w:val="left"/>
      <w:outlineLvl w:val="8"/>
    </w:pPr>
    <w:rPr>
      <w:rFonts w:eastAsia="等线 Light" w:cs="Times New Roman"/>
      <w:color w:val="595959"/>
      <w:sz w:val="22"/>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ind w:firstLine="560" w:firstLineChars="100"/>
    </w:pPr>
    <w:rPr>
      <w:rFonts w:ascii="Calibri" w:hAnsi="Calibri"/>
    </w:rPr>
  </w:style>
  <w:style w:type="paragraph" w:styleId="12">
    <w:name w:val="toc 3"/>
    <w:basedOn w:val="1"/>
    <w:next w:val="1"/>
    <w:unhideWhenUsed/>
    <w:qFormat/>
    <w:uiPriority w:val="39"/>
    <w:pPr>
      <w:tabs>
        <w:tab w:val="clear" w:pos="0"/>
      </w:tabs>
      <w:ind w:left="560"/>
      <w:jc w:val="left"/>
    </w:pPr>
    <w:rPr>
      <w:rFonts w:eastAsia="等线"/>
      <w:i/>
      <w:iCs/>
      <w:sz w:val="20"/>
      <w:szCs w:val="20"/>
    </w:rPr>
  </w:style>
  <w:style w:type="paragraph" w:styleId="13">
    <w:name w:val="footer"/>
    <w:basedOn w:val="1"/>
    <w:link w:val="48"/>
    <w:unhideWhenUsed/>
    <w:qFormat/>
    <w:uiPriority w:val="99"/>
    <w:pPr>
      <w:tabs>
        <w:tab w:val="center" w:pos="4153"/>
        <w:tab w:val="right" w:pos="8306"/>
      </w:tabs>
      <w:snapToGrid w:val="0"/>
      <w:jc w:val="left"/>
    </w:pPr>
    <w:rPr>
      <w:sz w:val="18"/>
      <w:szCs w:val="18"/>
    </w:rPr>
  </w:style>
  <w:style w:type="paragraph" w:styleId="14">
    <w:name w:val="header"/>
    <w:basedOn w:val="1"/>
    <w:link w:val="49"/>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302"/>
        <w:tab w:val="clear" w:pos="0"/>
      </w:tabs>
      <w:spacing w:before="120" w:after="120"/>
      <w:ind w:firstLine="314" w:firstLineChars="98"/>
      <w:jc w:val="left"/>
    </w:pPr>
    <w:rPr>
      <w:rFonts w:eastAsia="等线"/>
      <w:b/>
      <w:bCs/>
      <w:caps/>
      <w:sz w:val="32"/>
      <w:szCs w:val="32"/>
    </w:rPr>
  </w:style>
  <w:style w:type="paragraph" w:styleId="16">
    <w:name w:val="Subtitle"/>
    <w:basedOn w:val="1"/>
    <w:next w:val="1"/>
    <w:link w:val="40"/>
    <w:qFormat/>
    <w:uiPriority w:val="11"/>
    <w:pPr>
      <w:widowControl w:val="0"/>
      <w:tabs>
        <w:tab w:val="clear" w:pos="0"/>
      </w:tabs>
      <w:adjustRightInd/>
      <w:spacing w:after="160" w:line="278" w:lineRule="auto"/>
      <w:ind w:firstLine="560"/>
      <w:jc w:val="center"/>
    </w:pPr>
    <w:rPr>
      <w:rFonts w:ascii="等线 Light" w:hAnsi="等线 Light" w:eastAsia="等线 Light" w:cs="Times New Roman"/>
      <w:color w:val="595959"/>
      <w:spacing w:val="15"/>
    </w:rPr>
  </w:style>
  <w:style w:type="paragraph" w:styleId="17">
    <w:name w:val="toc 2"/>
    <w:basedOn w:val="1"/>
    <w:next w:val="1"/>
    <w:unhideWhenUsed/>
    <w:qFormat/>
    <w:uiPriority w:val="39"/>
    <w:pPr>
      <w:tabs>
        <w:tab w:val="right" w:leader="dot" w:pos="8296"/>
        <w:tab w:val="clear" w:pos="0"/>
      </w:tabs>
      <w:spacing w:line="276" w:lineRule="auto"/>
      <w:ind w:left="280" w:firstLine="440"/>
      <w:jc w:val="left"/>
    </w:pPr>
    <w:rPr>
      <w:rFonts w:eastAsia="等线"/>
      <w:smallCaps/>
      <w:sz w:val="22"/>
      <w:szCs w:val="22"/>
    </w:rPr>
  </w:style>
  <w:style w:type="paragraph" w:styleId="18">
    <w:name w:val="HTML Preformatted"/>
    <w:basedOn w:val="1"/>
    <w:link w:val="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adjustRightInd/>
      <w:ind w:firstLine="0" w:firstLineChars="0"/>
      <w:jc w:val="left"/>
    </w:pPr>
    <w:rPr>
      <w:rFonts w:ascii="宋体" w:hAnsi="宋体" w:eastAsia="宋体" w:cs="宋体"/>
      <w:kern w:val="0"/>
      <w:sz w:val="24"/>
      <w:szCs w:val="24"/>
    </w:rPr>
  </w:style>
  <w:style w:type="paragraph" w:styleId="19">
    <w:name w:val="Normal (Web)"/>
    <w:basedOn w:val="1"/>
    <w:unhideWhenUsed/>
    <w:qFormat/>
    <w:uiPriority w:val="99"/>
    <w:pPr>
      <w:tabs>
        <w:tab w:val="clear" w:pos="0"/>
      </w:tabs>
      <w:adjustRightInd/>
      <w:spacing w:before="100" w:beforeAutospacing="1" w:after="100" w:afterAutospacing="1"/>
      <w:ind w:firstLine="0" w:firstLineChars="0"/>
      <w:jc w:val="left"/>
    </w:pPr>
    <w:rPr>
      <w:rFonts w:ascii="宋体" w:hAnsi="宋体" w:eastAsia="宋体" w:cs="宋体"/>
      <w:kern w:val="0"/>
      <w:sz w:val="24"/>
      <w:szCs w:val="24"/>
    </w:rPr>
  </w:style>
  <w:style w:type="paragraph" w:styleId="20">
    <w:name w:val="Title"/>
    <w:basedOn w:val="1"/>
    <w:next w:val="1"/>
    <w:link w:val="39"/>
    <w:qFormat/>
    <w:uiPriority w:val="10"/>
    <w:pPr>
      <w:widowControl w:val="0"/>
      <w:tabs>
        <w:tab w:val="clear" w:pos="0"/>
      </w:tabs>
      <w:adjustRightInd/>
      <w:spacing w:after="80"/>
      <w:ind w:firstLine="0" w:firstLineChars="0"/>
      <w:contextualSpacing/>
      <w:jc w:val="center"/>
    </w:pPr>
    <w:rPr>
      <w:rFonts w:ascii="等线 Light" w:hAnsi="等线 Light" w:eastAsia="等线 Light" w:cs="Times New Roman"/>
      <w:spacing w:val="-10"/>
      <w:kern w:val="28"/>
      <w:sz w:val="56"/>
      <w:szCs w:val="56"/>
    </w:rPr>
  </w:style>
  <w:style w:type="paragraph" w:styleId="21">
    <w:name w:val="Body Text First Indent"/>
    <w:basedOn w:val="11"/>
    <w:qFormat/>
    <w:uiPriority w:val="0"/>
    <w:pPr>
      <w:ind w:firstLine="240"/>
      <w:jc w:val="center"/>
    </w:pPr>
    <w:rPr>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page number"/>
    <w:basedOn w:val="24"/>
    <w:semiHidden/>
    <w:unhideWhenUsed/>
    <w:qFormat/>
    <w:uiPriority w:val="99"/>
  </w:style>
  <w:style w:type="character" w:styleId="27">
    <w:name w:val="FollowedHyperlink"/>
    <w:semiHidden/>
    <w:unhideWhenUsed/>
    <w:qFormat/>
    <w:uiPriority w:val="99"/>
    <w:rPr>
      <w:color w:val="954F72"/>
      <w:u w:val="single"/>
    </w:rPr>
  </w:style>
  <w:style w:type="character" w:styleId="28">
    <w:name w:val="Emphasis"/>
    <w:basedOn w:val="24"/>
    <w:qFormat/>
    <w:uiPriority w:val="20"/>
    <w:rPr>
      <w:i/>
      <w:iCs/>
    </w:rPr>
  </w:style>
  <w:style w:type="character" w:styleId="29">
    <w:name w:val="Hyperlink"/>
    <w:unhideWhenUsed/>
    <w:qFormat/>
    <w:uiPriority w:val="99"/>
    <w:rPr>
      <w:color w:val="467886"/>
      <w:u w:val="single"/>
    </w:rPr>
  </w:style>
  <w:style w:type="character" w:customStyle="1" w:styleId="30">
    <w:name w:val="标题 1 字符"/>
    <w:link w:val="2"/>
    <w:qFormat/>
    <w:uiPriority w:val="9"/>
    <w:rPr>
      <w:rFonts w:ascii="等线 Light" w:hAnsi="等线 Light" w:eastAsia="等线 Light" w:cs="Times New Roman"/>
      <w:color w:val="0F4761"/>
      <w:sz w:val="48"/>
      <w:szCs w:val="48"/>
    </w:rPr>
  </w:style>
  <w:style w:type="character" w:customStyle="1" w:styleId="31">
    <w:name w:val="标题 2 字符"/>
    <w:link w:val="3"/>
    <w:qFormat/>
    <w:uiPriority w:val="0"/>
    <w:rPr>
      <w:rFonts w:ascii="等线 Light" w:hAnsi="等线 Light" w:eastAsia="等线 Light" w:cs="Times New Roman"/>
      <w:color w:val="0F4761"/>
      <w:sz w:val="40"/>
      <w:szCs w:val="40"/>
    </w:rPr>
  </w:style>
  <w:style w:type="character" w:customStyle="1" w:styleId="32">
    <w:name w:val="标题 3 字符"/>
    <w:link w:val="4"/>
    <w:qFormat/>
    <w:uiPriority w:val="9"/>
    <w:rPr>
      <w:rFonts w:ascii="等线 Light" w:hAnsi="等线 Light" w:eastAsia="等线 Light" w:cs="Times New Roman"/>
      <w:color w:val="0F4761"/>
      <w:sz w:val="32"/>
      <w:szCs w:val="32"/>
    </w:rPr>
  </w:style>
  <w:style w:type="character" w:customStyle="1" w:styleId="33">
    <w:name w:val="标题 4 字符"/>
    <w:link w:val="5"/>
    <w:semiHidden/>
    <w:qFormat/>
    <w:uiPriority w:val="9"/>
    <w:rPr>
      <w:rFonts w:cs="Times New Roman"/>
      <w:color w:val="0F4761"/>
      <w:sz w:val="28"/>
      <w:szCs w:val="28"/>
    </w:rPr>
  </w:style>
  <w:style w:type="character" w:customStyle="1" w:styleId="34">
    <w:name w:val="标题 5 字符"/>
    <w:link w:val="6"/>
    <w:semiHidden/>
    <w:qFormat/>
    <w:uiPriority w:val="9"/>
    <w:rPr>
      <w:rFonts w:cs="Times New Roman"/>
      <w:color w:val="0F4761"/>
      <w:sz w:val="24"/>
    </w:rPr>
  </w:style>
  <w:style w:type="character" w:customStyle="1" w:styleId="35">
    <w:name w:val="标题 6 字符"/>
    <w:link w:val="7"/>
    <w:semiHidden/>
    <w:qFormat/>
    <w:uiPriority w:val="9"/>
    <w:rPr>
      <w:rFonts w:cs="Times New Roman"/>
      <w:b/>
      <w:bCs/>
      <w:color w:val="0F4761"/>
    </w:rPr>
  </w:style>
  <w:style w:type="character" w:customStyle="1" w:styleId="36">
    <w:name w:val="标题 7 字符"/>
    <w:link w:val="8"/>
    <w:semiHidden/>
    <w:qFormat/>
    <w:uiPriority w:val="9"/>
    <w:rPr>
      <w:rFonts w:cs="Times New Roman"/>
      <w:b/>
      <w:bCs/>
      <w:color w:val="595959"/>
    </w:rPr>
  </w:style>
  <w:style w:type="character" w:customStyle="1" w:styleId="37">
    <w:name w:val="标题 8 字符"/>
    <w:link w:val="9"/>
    <w:semiHidden/>
    <w:qFormat/>
    <w:uiPriority w:val="9"/>
    <w:rPr>
      <w:rFonts w:cs="Times New Roman"/>
      <w:color w:val="595959"/>
    </w:rPr>
  </w:style>
  <w:style w:type="character" w:customStyle="1" w:styleId="38">
    <w:name w:val="标题 9 字符"/>
    <w:link w:val="10"/>
    <w:semiHidden/>
    <w:qFormat/>
    <w:uiPriority w:val="9"/>
    <w:rPr>
      <w:rFonts w:eastAsia="等线 Light" w:cs="Times New Roman"/>
      <w:color w:val="595959"/>
    </w:rPr>
  </w:style>
  <w:style w:type="character" w:customStyle="1" w:styleId="39">
    <w:name w:val="标题 字符"/>
    <w:link w:val="20"/>
    <w:qFormat/>
    <w:uiPriority w:val="10"/>
    <w:rPr>
      <w:rFonts w:ascii="等线 Light" w:hAnsi="等线 Light" w:eastAsia="等线 Light" w:cs="Times New Roman"/>
      <w:spacing w:val="-10"/>
      <w:kern w:val="28"/>
      <w:sz w:val="56"/>
      <w:szCs w:val="56"/>
    </w:rPr>
  </w:style>
  <w:style w:type="character" w:customStyle="1" w:styleId="40">
    <w:name w:val="副标题 字符"/>
    <w:link w:val="16"/>
    <w:qFormat/>
    <w:uiPriority w:val="11"/>
    <w:rPr>
      <w:rFonts w:ascii="等线 Light" w:hAnsi="等线 Light" w:eastAsia="等线 Light" w:cs="Times New Roman"/>
      <w:color w:val="595959"/>
      <w:spacing w:val="15"/>
      <w:sz w:val="28"/>
      <w:szCs w:val="28"/>
    </w:rPr>
  </w:style>
  <w:style w:type="paragraph" w:styleId="41">
    <w:name w:val="Quote"/>
    <w:basedOn w:val="1"/>
    <w:next w:val="1"/>
    <w:link w:val="42"/>
    <w:qFormat/>
    <w:uiPriority w:val="29"/>
    <w:pPr>
      <w:widowControl w:val="0"/>
      <w:tabs>
        <w:tab w:val="clear" w:pos="0"/>
      </w:tabs>
      <w:adjustRightInd/>
      <w:spacing w:before="160" w:after="160" w:line="278" w:lineRule="auto"/>
      <w:ind w:firstLine="0" w:firstLineChars="0"/>
      <w:jc w:val="center"/>
    </w:pPr>
    <w:rPr>
      <w:rFonts w:eastAsia="等线" w:cs="Times New Roman"/>
      <w:i/>
      <w:iCs/>
      <w:color w:val="404040"/>
      <w:sz w:val="22"/>
      <w:szCs w:val="24"/>
    </w:rPr>
  </w:style>
  <w:style w:type="character" w:customStyle="1" w:styleId="42">
    <w:name w:val="引用 字符"/>
    <w:link w:val="41"/>
    <w:qFormat/>
    <w:uiPriority w:val="29"/>
    <w:rPr>
      <w:i/>
      <w:iCs/>
      <w:color w:val="404040"/>
    </w:rPr>
  </w:style>
  <w:style w:type="paragraph" w:styleId="43">
    <w:name w:val="List Paragraph"/>
    <w:basedOn w:val="1"/>
    <w:qFormat/>
    <w:uiPriority w:val="34"/>
    <w:pPr>
      <w:widowControl w:val="0"/>
      <w:tabs>
        <w:tab w:val="clear" w:pos="0"/>
      </w:tabs>
      <w:adjustRightInd/>
      <w:spacing w:after="160" w:line="278" w:lineRule="auto"/>
      <w:ind w:left="720" w:firstLine="0" w:firstLineChars="0"/>
      <w:contextualSpacing/>
      <w:jc w:val="left"/>
    </w:pPr>
    <w:rPr>
      <w:rFonts w:eastAsia="等线" w:cs="Times New Roman"/>
      <w:sz w:val="22"/>
      <w:szCs w:val="24"/>
    </w:rPr>
  </w:style>
  <w:style w:type="character" w:customStyle="1" w:styleId="44">
    <w:name w:val="明显强调1"/>
    <w:qFormat/>
    <w:uiPriority w:val="21"/>
    <w:rPr>
      <w:i/>
      <w:iCs/>
      <w:color w:val="0F4761"/>
    </w:rPr>
  </w:style>
  <w:style w:type="paragraph" w:styleId="45">
    <w:name w:val="Intense Quote"/>
    <w:basedOn w:val="1"/>
    <w:next w:val="1"/>
    <w:link w:val="46"/>
    <w:qFormat/>
    <w:uiPriority w:val="30"/>
    <w:pPr>
      <w:widowControl w:val="0"/>
      <w:pBdr>
        <w:top w:val="single" w:color="0F4761" w:sz="4" w:space="10"/>
        <w:bottom w:val="single" w:color="0F4761" w:sz="4" w:space="10"/>
      </w:pBdr>
      <w:tabs>
        <w:tab w:val="clear" w:pos="0"/>
      </w:tabs>
      <w:adjustRightInd/>
      <w:spacing w:before="360" w:after="360" w:line="278" w:lineRule="auto"/>
      <w:ind w:left="864" w:right="864" w:firstLine="0" w:firstLineChars="0"/>
      <w:jc w:val="center"/>
    </w:pPr>
    <w:rPr>
      <w:rFonts w:eastAsia="等线" w:cs="Times New Roman"/>
      <w:i/>
      <w:iCs/>
      <w:color w:val="0F4761"/>
      <w:sz w:val="22"/>
      <w:szCs w:val="24"/>
    </w:rPr>
  </w:style>
  <w:style w:type="character" w:customStyle="1" w:styleId="46">
    <w:name w:val="明显引用 字符"/>
    <w:link w:val="45"/>
    <w:qFormat/>
    <w:uiPriority w:val="30"/>
    <w:rPr>
      <w:i/>
      <w:iCs/>
      <w:color w:val="0F4761"/>
    </w:rPr>
  </w:style>
  <w:style w:type="character" w:customStyle="1" w:styleId="47">
    <w:name w:val="明显参考1"/>
    <w:qFormat/>
    <w:uiPriority w:val="32"/>
    <w:rPr>
      <w:b/>
      <w:bCs/>
      <w:smallCaps/>
      <w:color w:val="0F4761"/>
      <w:spacing w:val="5"/>
    </w:rPr>
  </w:style>
  <w:style w:type="character" w:customStyle="1" w:styleId="48">
    <w:name w:val="页脚 字符"/>
    <w:link w:val="13"/>
    <w:qFormat/>
    <w:uiPriority w:val="99"/>
    <w:rPr>
      <w:rFonts w:eastAsia="仿宋" w:cs="Times New Roman (正文 CS 字体)"/>
      <w:sz w:val="18"/>
      <w:szCs w:val="18"/>
    </w:rPr>
  </w:style>
  <w:style w:type="character" w:customStyle="1" w:styleId="49">
    <w:name w:val="页眉 字符"/>
    <w:link w:val="14"/>
    <w:qFormat/>
    <w:uiPriority w:val="99"/>
    <w:rPr>
      <w:rFonts w:eastAsia="仿宋" w:cs="Times New Roman (正文 CS 字体)"/>
      <w:sz w:val="18"/>
      <w:szCs w:val="18"/>
    </w:rPr>
  </w:style>
  <w:style w:type="character" w:customStyle="1" w:styleId="50">
    <w:name w:val="HTML 预设格式 字符"/>
    <w:link w:val="18"/>
    <w:qFormat/>
    <w:uiPriority w:val="99"/>
    <w:rPr>
      <w:rFonts w:ascii="宋体" w:hAnsi="宋体" w:eastAsia="宋体" w:cs="宋体"/>
      <w:kern w:val="0"/>
      <w:sz w:val="24"/>
    </w:rPr>
  </w:style>
  <w:style w:type="paragraph" w:customStyle="1" w:styleId="51">
    <w:name w:val="paragraph"/>
    <w:basedOn w:val="1"/>
    <w:semiHidden/>
    <w:qFormat/>
    <w:uiPriority w:val="0"/>
    <w:pPr>
      <w:spacing w:before="100" w:beforeAutospacing="1" w:after="100" w:afterAutospacing="1"/>
      <w:jc w:val="left"/>
    </w:pPr>
    <w:rPr>
      <w:rFonts w:eastAsia="等线" w:cs="Times New Roman"/>
      <w:kern w:val="0"/>
      <w:sz w:val="24"/>
      <w:szCs w:val="24"/>
    </w:rPr>
  </w:style>
  <w:style w:type="paragraph" w:customStyle="1" w:styleId="52">
    <w:name w:val="msonormal"/>
    <w:basedOn w:val="1"/>
    <w:qFormat/>
    <w:uiPriority w:val="0"/>
    <w:pPr>
      <w:tabs>
        <w:tab w:val="clear" w:pos="0"/>
      </w:tabs>
      <w:adjustRightInd/>
      <w:spacing w:before="100" w:beforeAutospacing="1" w:after="100" w:afterAutospacing="1"/>
      <w:ind w:firstLine="0" w:firstLineChars="0"/>
      <w:jc w:val="left"/>
    </w:pPr>
    <w:rPr>
      <w:rFonts w:ascii="宋体" w:hAnsi="宋体" w:eastAsia="宋体" w:cs="宋体"/>
      <w:kern w:val="0"/>
      <w:sz w:val="24"/>
      <w:szCs w:val="24"/>
    </w:rPr>
  </w:style>
  <w:style w:type="paragraph" w:customStyle="1" w:styleId="53">
    <w:name w:val="xl63"/>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Calibri" w:hAnsi="Calibri" w:eastAsia="宋体" w:cs="Calibri"/>
      <w:b/>
      <w:bCs/>
      <w:kern w:val="0"/>
      <w:sz w:val="24"/>
      <w:szCs w:val="24"/>
    </w:rPr>
  </w:style>
  <w:style w:type="paragraph" w:customStyle="1" w:styleId="54">
    <w:name w:val="xl64"/>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宋体" w:hAnsi="宋体" w:eastAsia="宋体" w:cs="宋体"/>
      <w:kern w:val="0"/>
      <w:sz w:val="24"/>
      <w:szCs w:val="24"/>
    </w:rPr>
  </w:style>
  <w:style w:type="paragraph" w:customStyle="1" w:styleId="55">
    <w:name w:val="xl65"/>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pPr>
    <w:rPr>
      <w:rFonts w:ascii="宋体" w:hAnsi="宋体" w:eastAsia="宋体" w:cs="宋体"/>
      <w:kern w:val="0"/>
      <w:sz w:val="24"/>
      <w:szCs w:val="24"/>
    </w:rPr>
  </w:style>
  <w:style w:type="paragraph" w:customStyle="1" w:styleId="56">
    <w:name w:val="xl66"/>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宋体" w:hAnsi="宋体" w:eastAsia="宋体" w:cs="宋体"/>
      <w:b/>
      <w:bCs/>
      <w:kern w:val="0"/>
      <w:sz w:val="24"/>
      <w:szCs w:val="24"/>
    </w:rPr>
  </w:style>
  <w:style w:type="paragraph" w:customStyle="1" w:styleId="57">
    <w:name w:val="xl67"/>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宋体" w:hAnsi="宋体" w:eastAsia="宋体" w:cs="宋体"/>
      <w:b/>
      <w:bCs/>
      <w:kern w:val="0"/>
      <w:sz w:val="24"/>
      <w:szCs w:val="24"/>
    </w:rPr>
  </w:style>
  <w:style w:type="paragraph" w:customStyle="1" w:styleId="58">
    <w:name w:val="xl68"/>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宋体" w:hAnsi="宋体" w:eastAsia="宋体" w:cs="宋体"/>
      <w:kern w:val="0"/>
      <w:sz w:val="24"/>
      <w:szCs w:val="24"/>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tabs>
        <w:tab w:val="clear" w:pos="0"/>
      </w:tabs>
      <w:adjustRightInd/>
      <w:spacing w:before="100" w:beforeAutospacing="1" w:after="100" w:afterAutospacing="1"/>
      <w:ind w:firstLine="0" w:firstLineChars="0"/>
      <w:jc w:val="center"/>
      <w:textAlignment w:val="bottom"/>
    </w:pPr>
    <w:rPr>
      <w:rFonts w:ascii="宋体" w:hAnsi="宋体" w:eastAsia="宋体" w:cs="宋体"/>
      <w:kern w:val="0"/>
      <w:sz w:val="24"/>
      <w:szCs w:val="24"/>
    </w:rPr>
  </w:style>
  <w:style w:type="character" w:customStyle="1" w:styleId="60">
    <w:name w:val="text_keo1f"/>
    <w:basedOn w:val="24"/>
    <w:qFormat/>
    <w:uiPriority w:val="0"/>
  </w:style>
  <w:style w:type="character" w:customStyle="1" w:styleId="61">
    <w:name w:val="text_ywldm"/>
    <w:basedOn w:val="24"/>
    <w:qFormat/>
    <w:uiPriority w:val="0"/>
  </w:style>
  <w:style w:type="paragraph" w:styleId="62">
    <w:name w:val="No Spacing"/>
    <w:qFormat/>
    <w:uiPriority w:val="1"/>
    <w:pPr>
      <w:tabs>
        <w:tab w:val="left" w:pos="0"/>
      </w:tabs>
      <w:adjustRightInd w:val="0"/>
      <w:ind w:firstLine="200" w:firstLineChars="200"/>
      <w:jc w:val="both"/>
    </w:pPr>
    <w:rPr>
      <w:rFonts w:ascii="等线" w:hAnsi="等线" w:eastAsia="仿宋" w:cs="Times New Roman (正文 CS 字体)"/>
      <w:kern w:val="2"/>
      <w:sz w:val="28"/>
      <w:szCs w:val="28"/>
      <w:lang w:val="en-US" w:eastAsia="zh-CN" w:bidi="ar-SA"/>
    </w:rPr>
  </w:style>
  <w:style w:type="character" w:customStyle="1" w:styleId="63">
    <w:name w:val="text_jayku"/>
    <w:basedOn w:val="24"/>
    <w:qFormat/>
    <w:uiPriority w:val="0"/>
  </w:style>
  <w:style w:type="character" w:customStyle="1" w:styleId="64">
    <w:name w:val="supwrap_a9wtz"/>
    <w:basedOn w:val="24"/>
    <w:qFormat/>
    <w:uiPriority w:val="0"/>
  </w:style>
  <w:style w:type="character" w:customStyle="1" w:styleId="65">
    <w:name w:val="text_yo0xc"/>
    <w:basedOn w:val="24"/>
    <w:qFormat/>
    <w:uiPriority w:val="0"/>
  </w:style>
  <w:style w:type="character" w:customStyle="1" w:styleId="66">
    <w:name w:val="supwrap_awjvi"/>
    <w:basedOn w:val="24"/>
    <w:qFormat/>
    <w:uiPriority w:val="0"/>
  </w:style>
  <w:style w:type="paragraph" w:customStyle="1" w:styleId="67">
    <w:name w:val="图、表标题"/>
    <w:basedOn w:val="1"/>
    <w:qFormat/>
    <w:uiPriority w:val="0"/>
    <w:pPr>
      <w:spacing w:line="240" w:lineRule="auto"/>
      <w:ind w:firstLine="0" w:firstLineChars="0"/>
      <w:jc w:val="center"/>
    </w:pPr>
    <w:rPr>
      <w:rFonts w:hint="eastAsia" w:eastAsia="黑体"/>
    </w:rPr>
  </w:style>
  <w:style w:type="paragraph" w:customStyle="1" w:styleId="68">
    <w:name w:val="数据来源"/>
    <w:basedOn w:val="1"/>
    <w:qFormat/>
    <w:uiPriority w:val="0"/>
    <w:pPr>
      <w:spacing w:line="240" w:lineRule="auto"/>
      <w:ind w:firstLine="0" w:firstLineChars="0"/>
      <w:jc w:val="right"/>
    </w:pPr>
    <w:rPr>
      <w:rFonts w:hint="eastAsia"/>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image" Target="media/image4.png"/><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5991;&#26723;\23-24&#24180;&#23454;&#20064;&#26448;&#26009;&#27719;&#24635;\&#20869;&#33945;&#20844;&#21496;&#30740;&#31350;&#20998;&#26512;&#25253;&#21578;&#65288;3&#26376;&#33267;&#20170;&#65289;\11.&#20013;&#30416;&#21270;&#24037;\&#34892;&#19994;&#25968;&#25454;\&#30899;&#37240;&#38048;(&#32431;&#30897;)&#20135;&#37327;&#24403;&#26376;&#20540;_20240517_21282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5991;&#26723;\23-24&#24180;&#23454;&#20064;&#26448;&#26009;&#27719;&#24635;\&#20869;&#33945;&#20844;&#21496;&#30740;&#31350;&#20998;&#26512;&#25253;&#21578;&#65288;3&#26376;&#33267;&#20170;&#65289;\11.&#20013;&#30416;&#21270;&#24037;\&#34892;&#19994;&#25968;&#25454;\&#27682;&#27687;&#21270;&#38048;(&#28903;&#30897;)&#29983;&#20135;&#37327;_20240517_21322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碳酸钠(纯碱):产量:当月值:万吨</c:v>
                </c:pt>
              </c:strCache>
            </c:strRef>
          </c:tx>
          <c:spPr>
            <a:ln w="28575" cap="rnd">
              <a:solidFill>
                <a:schemeClr val="accent1"/>
              </a:solidFill>
              <a:round/>
            </a:ln>
            <a:effectLst/>
          </c:spPr>
          <c:marker>
            <c:symbol val="none"/>
          </c:marker>
          <c:dLbls>
            <c:delete val="1"/>
          </c:dLbls>
          <c:cat>
            <c:numRef>
              <c:f>Sheet1!$A$2:$A$42</c:f>
              <c:numCache>
                <c:formatCode>yyyy\-mm</c:formatCode>
                <c:ptCount val="41"/>
                <c:pt idx="0" c:formatCode="yyyy\-mm">
                  <c:v>45382</c:v>
                </c:pt>
                <c:pt idx="1" c:formatCode="yyyy\-mm">
                  <c:v>45291</c:v>
                </c:pt>
                <c:pt idx="2" c:formatCode="yyyy\-mm">
                  <c:v>45260</c:v>
                </c:pt>
                <c:pt idx="3" c:formatCode="yyyy\-mm">
                  <c:v>45230</c:v>
                </c:pt>
                <c:pt idx="4" c:formatCode="yyyy\-mm">
                  <c:v>45199</c:v>
                </c:pt>
                <c:pt idx="5" c:formatCode="yyyy\-mm">
                  <c:v>45169</c:v>
                </c:pt>
                <c:pt idx="6" c:formatCode="yyyy\-mm">
                  <c:v>45138</c:v>
                </c:pt>
                <c:pt idx="7" c:formatCode="yyyy\-mm">
                  <c:v>45107</c:v>
                </c:pt>
                <c:pt idx="8" c:formatCode="yyyy\-mm">
                  <c:v>45077</c:v>
                </c:pt>
                <c:pt idx="9" c:formatCode="yyyy\-mm">
                  <c:v>45046</c:v>
                </c:pt>
                <c:pt idx="10" c:formatCode="yyyy\-mm">
                  <c:v>45016</c:v>
                </c:pt>
                <c:pt idx="11" c:formatCode="yyyy\-mm">
                  <c:v>44926</c:v>
                </c:pt>
                <c:pt idx="12" c:formatCode="yyyy\-mm">
                  <c:v>44895</c:v>
                </c:pt>
                <c:pt idx="13" c:formatCode="yyyy\-mm">
                  <c:v>44865</c:v>
                </c:pt>
                <c:pt idx="14" c:formatCode="yyyy\-mm">
                  <c:v>44834</c:v>
                </c:pt>
                <c:pt idx="15" c:formatCode="yyyy\-mm">
                  <c:v>44804</c:v>
                </c:pt>
                <c:pt idx="16" c:formatCode="yyyy\-mm">
                  <c:v>44773</c:v>
                </c:pt>
                <c:pt idx="17" c:formatCode="yyyy\-mm">
                  <c:v>44742</c:v>
                </c:pt>
                <c:pt idx="18" c:formatCode="yyyy\-mm">
                  <c:v>44712</c:v>
                </c:pt>
                <c:pt idx="19" c:formatCode="yyyy\-mm">
                  <c:v>44681</c:v>
                </c:pt>
                <c:pt idx="20" c:formatCode="yyyy\-mm">
                  <c:v>44651</c:v>
                </c:pt>
                <c:pt idx="21" c:formatCode="yyyy\-mm">
                  <c:v>44561</c:v>
                </c:pt>
                <c:pt idx="22" c:formatCode="yyyy\-mm">
                  <c:v>44530</c:v>
                </c:pt>
                <c:pt idx="23" c:formatCode="yyyy\-mm">
                  <c:v>44500</c:v>
                </c:pt>
                <c:pt idx="24" c:formatCode="yyyy\-mm">
                  <c:v>44469</c:v>
                </c:pt>
                <c:pt idx="25" c:formatCode="yyyy\-mm">
                  <c:v>44439</c:v>
                </c:pt>
                <c:pt idx="26" c:formatCode="yyyy\-mm">
                  <c:v>44408</c:v>
                </c:pt>
                <c:pt idx="27" c:formatCode="yyyy\-mm">
                  <c:v>44377</c:v>
                </c:pt>
                <c:pt idx="28" c:formatCode="yyyy\-mm">
                  <c:v>44347</c:v>
                </c:pt>
                <c:pt idx="29" c:formatCode="yyyy\-mm">
                  <c:v>44316</c:v>
                </c:pt>
                <c:pt idx="30" c:formatCode="yyyy\-mm">
                  <c:v>44286</c:v>
                </c:pt>
                <c:pt idx="31" c:formatCode="yyyy\-mm">
                  <c:v>44196</c:v>
                </c:pt>
                <c:pt idx="32" c:formatCode="yyyy\-mm">
                  <c:v>44165</c:v>
                </c:pt>
                <c:pt idx="33" c:formatCode="yyyy\-mm">
                  <c:v>44135</c:v>
                </c:pt>
                <c:pt idx="34" c:formatCode="yyyy\-mm">
                  <c:v>44104</c:v>
                </c:pt>
                <c:pt idx="35" c:formatCode="yyyy\-mm">
                  <c:v>44074</c:v>
                </c:pt>
                <c:pt idx="36" c:formatCode="yyyy\-mm">
                  <c:v>44043</c:v>
                </c:pt>
                <c:pt idx="37" c:formatCode="yyyy\-mm">
                  <c:v>44012</c:v>
                </c:pt>
                <c:pt idx="38" c:formatCode="yyyy\-mm">
                  <c:v>43982</c:v>
                </c:pt>
                <c:pt idx="39" c:formatCode="yyyy\-mm">
                  <c:v>43951</c:v>
                </c:pt>
                <c:pt idx="40" c:formatCode="yyyy\-mm">
                  <c:v>43921</c:v>
                </c:pt>
              </c:numCache>
            </c:numRef>
          </c:cat>
          <c:val>
            <c:numRef>
              <c:f>Sheet1!$B$2:$B$42</c:f>
              <c:numCache>
                <c:formatCode>#,##0</c:formatCode>
                <c:ptCount val="41"/>
                <c:pt idx="0">
                  <c:v>322.9</c:v>
                </c:pt>
                <c:pt idx="1">
                  <c:v>300.44</c:v>
                </c:pt>
                <c:pt idx="2">
                  <c:v>291.8</c:v>
                </c:pt>
                <c:pt idx="3">
                  <c:v>309.5</c:v>
                </c:pt>
                <c:pt idx="4">
                  <c:v>272.3</c:v>
                </c:pt>
                <c:pt idx="5">
                  <c:v>249.3</c:v>
                </c:pt>
                <c:pt idx="6">
                  <c:v>251.3</c:v>
                </c:pt>
                <c:pt idx="7">
                  <c:v>266.8</c:v>
                </c:pt>
                <c:pt idx="8">
                  <c:v>263.1</c:v>
                </c:pt>
                <c:pt idx="9">
                  <c:v>263.7</c:v>
                </c:pt>
                <c:pt idx="10">
                  <c:v>267.19</c:v>
                </c:pt>
                <c:pt idx="11">
                  <c:v>257.7</c:v>
                </c:pt>
                <c:pt idx="12">
                  <c:v>267.5</c:v>
                </c:pt>
                <c:pt idx="13">
                  <c:v>251.5</c:v>
                </c:pt>
                <c:pt idx="14">
                  <c:v>236.2</c:v>
                </c:pt>
                <c:pt idx="15">
                  <c:v>215.8</c:v>
                </c:pt>
                <c:pt idx="16">
                  <c:v>225.16</c:v>
                </c:pt>
                <c:pt idx="17">
                  <c:v>249.3</c:v>
                </c:pt>
                <c:pt idx="18">
                  <c:v>253.2</c:v>
                </c:pt>
                <c:pt idx="19">
                  <c:v>247.9</c:v>
                </c:pt>
                <c:pt idx="20">
                  <c:v>243.93</c:v>
                </c:pt>
                <c:pt idx="21">
                  <c:v>246.9</c:v>
                </c:pt>
                <c:pt idx="22">
                  <c:v>247.6</c:v>
                </c:pt>
                <c:pt idx="23">
                  <c:v>242.14</c:v>
                </c:pt>
                <c:pt idx="24">
                  <c:v>232.4</c:v>
                </c:pt>
                <c:pt idx="25">
                  <c:v>242.7</c:v>
                </c:pt>
                <c:pt idx="26">
                  <c:v>223.1</c:v>
                </c:pt>
                <c:pt idx="27">
                  <c:v>248.1</c:v>
                </c:pt>
                <c:pt idx="28">
                  <c:v>247.9</c:v>
                </c:pt>
                <c:pt idx="29">
                  <c:v>257.3</c:v>
                </c:pt>
                <c:pt idx="30">
                  <c:v>254</c:v>
                </c:pt>
                <c:pt idx="31">
                  <c:v>232.6</c:v>
                </c:pt>
                <c:pt idx="32">
                  <c:v>245</c:v>
                </c:pt>
                <c:pt idx="33">
                  <c:v>250.7</c:v>
                </c:pt>
                <c:pt idx="34">
                  <c:v>219.1</c:v>
                </c:pt>
                <c:pt idx="35">
                  <c:v>238.4</c:v>
                </c:pt>
                <c:pt idx="36">
                  <c:v>241.8</c:v>
                </c:pt>
                <c:pt idx="37">
                  <c:v>218.1</c:v>
                </c:pt>
                <c:pt idx="38">
                  <c:v>216.7</c:v>
                </c:pt>
                <c:pt idx="39">
                  <c:v>235.4</c:v>
                </c:pt>
                <c:pt idx="40">
                  <c:v>230.5</c:v>
                </c:pt>
              </c:numCache>
            </c:numRef>
          </c:val>
          <c:smooth val="0"/>
        </c:ser>
        <c:dLbls>
          <c:showLegendKey val="0"/>
          <c:showVal val="0"/>
          <c:showCatName val="0"/>
          <c:showSerName val="0"/>
          <c:showPercent val="0"/>
          <c:showBubbleSize val="0"/>
        </c:dLbls>
        <c:marker val="0"/>
        <c:smooth val="0"/>
        <c:axId val="1295317951"/>
        <c:axId val="1295309791"/>
      </c:lineChart>
      <c:dateAx>
        <c:axId val="1295317951"/>
        <c:scaling>
          <c:orientation val="minMax"/>
        </c:scaling>
        <c:delete val="0"/>
        <c:axPos val="b"/>
        <c:numFmt formatCode="yyyy\-mm"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295309791"/>
        <c:crosses val="autoZero"/>
        <c:auto val="1"/>
        <c:lblOffset val="100"/>
        <c:baseTimeUnit val="months"/>
      </c:dateAx>
      <c:valAx>
        <c:axId val="1295309791"/>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2953179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PVC开工!$B$1</c:f>
              <c:strCache>
                <c:ptCount val="1"/>
                <c:pt idx="0">
                  <c:v>PVC:开工率:当周值:%</c:v>
                </c:pt>
              </c:strCache>
            </c:strRef>
          </c:tx>
          <c:spPr>
            <a:ln w="28575" cap="rnd">
              <a:solidFill>
                <a:schemeClr val="accent1"/>
              </a:solidFill>
              <a:round/>
            </a:ln>
            <a:effectLst/>
          </c:spPr>
          <c:marker>
            <c:symbol val="none"/>
          </c:marker>
          <c:dLbls>
            <c:delete val="1"/>
          </c:dLbls>
          <c:cat>
            <c:numRef>
              <c:f>PVC开工!$A$2:$A$125</c:f>
              <c:numCache>
                <c:formatCode>yyyy\-mm\-dd</c:formatCode>
                <c:ptCount val="124"/>
                <c:pt idx="0" c:formatCode="yyyy\-mm\-dd">
                  <c:v>45428</c:v>
                </c:pt>
                <c:pt idx="1" c:formatCode="yyyy\-mm\-dd">
                  <c:v>45421</c:v>
                </c:pt>
                <c:pt idx="2" c:formatCode="yyyy\-mm\-dd">
                  <c:v>45407</c:v>
                </c:pt>
                <c:pt idx="3" c:formatCode="yyyy\-mm\-dd">
                  <c:v>45400</c:v>
                </c:pt>
                <c:pt idx="4" c:formatCode="yyyy\-mm\-dd">
                  <c:v>45393</c:v>
                </c:pt>
                <c:pt idx="5" c:formatCode="yyyy\-mm\-dd">
                  <c:v>45385</c:v>
                </c:pt>
                <c:pt idx="6" c:formatCode="yyyy\-mm\-dd">
                  <c:v>45379</c:v>
                </c:pt>
                <c:pt idx="7" c:formatCode="yyyy\-mm\-dd">
                  <c:v>45372</c:v>
                </c:pt>
                <c:pt idx="8" c:formatCode="yyyy\-mm\-dd">
                  <c:v>45365</c:v>
                </c:pt>
                <c:pt idx="9" c:formatCode="yyyy\-mm\-dd">
                  <c:v>45358</c:v>
                </c:pt>
                <c:pt idx="10" c:formatCode="yyyy\-mm\-dd">
                  <c:v>45351</c:v>
                </c:pt>
                <c:pt idx="11" c:formatCode="yyyy\-mm\-dd">
                  <c:v>45344</c:v>
                </c:pt>
                <c:pt idx="12" c:formatCode="yyyy\-mm\-dd">
                  <c:v>45330</c:v>
                </c:pt>
                <c:pt idx="13" c:formatCode="yyyy\-mm\-dd">
                  <c:v>45323</c:v>
                </c:pt>
                <c:pt idx="14" c:formatCode="yyyy\-mm\-dd">
                  <c:v>45316</c:v>
                </c:pt>
                <c:pt idx="15" c:formatCode="yyyy\-mm\-dd">
                  <c:v>45309</c:v>
                </c:pt>
                <c:pt idx="16" c:formatCode="yyyy\-mm\-dd">
                  <c:v>45302</c:v>
                </c:pt>
                <c:pt idx="17" c:formatCode="yyyy\-mm\-dd">
                  <c:v>45295</c:v>
                </c:pt>
                <c:pt idx="18" c:formatCode="yyyy\-mm\-dd">
                  <c:v>45288</c:v>
                </c:pt>
                <c:pt idx="19" c:formatCode="yyyy\-mm\-dd">
                  <c:v>45281</c:v>
                </c:pt>
                <c:pt idx="20" c:formatCode="yyyy\-mm\-dd">
                  <c:v>45274</c:v>
                </c:pt>
                <c:pt idx="21" c:formatCode="yyyy\-mm\-dd">
                  <c:v>45267</c:v>
                </c:pt>
                <c:pt idx="22" c:formatCode="yyyy\-mm\-dd">
                  <c:v>45260</c:v>
                </c:pt>
                <c:pt idx="23" c:formatCode="yyyy\-mm\-dd">
                  <c:v>45253</c:v>
                </c:pt>
                <c:pt idx="24" c:formatCode="yyyy\-mm\-dd">
                  <c:v>45246</c:v>
                </c:pt>
                <c:pt idx="25" c:formatCode="yyyy\-mm\-dd">
                  <c:v>45239</c:v>
                </c:pt>
                <c:pt idx="26" c:formatCode="yyyy\-mm\-dd">
                  <c:v>45232</c:v>
                </c:pt>
                <c:pt idx="27" c:formatCode="yyyy\-mm\-dd">
                  <c:v>45225</c:v>
                </c:pt>
                <c:pt idx="28" c:formatCode="yyyy\-mm\-dd">
                  <c:v>45218</c:v>
                </c:pt>
                <c:pt idx="29" c:formatCode="yyyy\-mm\-dd">
                  <c:v>45211</c:v>
                </c:pt>
                <c:pt idx="30" c:formatCode="yyyy\-mm\-dd">
                  <c:v>45197</c:v>
                </c:pt>
                <c:pt idx="31" c:formatCode="yyyy\-mm\-dd">
                  <c:v>45190</c:v>
                </c:pt>
                <c:pt idx="32" c:formatCode="yyyy\-mm\-dd">
                  <c:v>45183</c:v>
                </c:pt>
                <c:pt idx="33" c:formatCode="yyyy\-mm\-dd">
                  <c:v>45176</c:v>
                </c:pt>
                <c:pt idx="34" c:formatCode="yyyy\-mm\-dd">
                  <c:v>45169</c:v>
                </c:pt>
                <c:pt idx="35" c:formatCode="yyyy\-mm\-dd">
                  <c:v>45162</c:v>
                </c:pt>
                <c:pt idx="36" c:formatCode="yyyy\-mm\-dd">
                  <c:v>45155</c:v>
                </c:pt>
                <c:pt idx="37" c:formatCode="yyyy\-mm\-dd">
                  <c:v>45148</c:v>
                </c:pt>
                <c:pt idx="38" c:formatCode="yyyy\-mm\-dd">
                  <c:v>45141</c:v>
                </c:pt>
                <c:pt idx="39" c:formatCode="yyyy\-mm\-dd">
                  <c:v>45134</c:v>
                </c:pt>
                <c:pt idx="40" c:formatCode="yyyy\-mm\-dd">
                  <c:v>45127</c:v>
                </c:pt>
                <c:pt idx="41" c:formatCode="yyyy\-mm\-dd">
                  <c:v>45120</c:v>
                </c:pt>
                <c:pt idx="42" c:formatCode="yyyy\-mm\-dd">
                  <c:v>45113</c:v>
                </c:pt>
                <c:pt idx="43" c:formatCode="yyyy\-mm\-dd">
                  <c:v>45106</c:v>
                </c:pt>
                <c:pt idx="44" c:formatCode="yyyy\-mm\-dd">
                  <c:v>45098</c:v>
                </c:pt>
                <c:pt idx="45" c:formatCode="yyyy\-mm\-dd">
                  <c:v>45092</c:v>
                </c:pt>
                <c:pt idx="46" c:formatCode="yyyy\-mm\-dd">
                  <c:v>45085</c:v>
                </c:pt>
                <c:pt idx="47" c:formatCode="yyyy\-mm\-dd">
                  <c:v>45078</c:v>
                </c:pt>
                <c:pt idx="48" c:formatCode="yyyy\-mm\-dd">
                  <c:v>45071</c:v>
                </c:pt>
                <c:pt idx="49" c:formatCode="yyyy\-mm\-dd">
                  <c:v>45064</c:v>
                </c:pt>
                <c:pt idx="50" c:formatCode="yyyy\-mm\-dd">
                  <c:v>45057</c:v>
                </c:pt>
                <c:pt idx="51" c:formatCode="yyyy\-mm\-dd">
                  <c:v>45043</c:v>
                </c:pt>
                <c:pt idx="52" c:formatCode="yyyy\-mm\-dd">
                  <c:v>45036</c:v>
                </c:pt>
                <c:pt idx="53" c:formatCode="yyyy\-mm\-dd">
                  <c:v>45029</c:v>
                </c:pt>
                <c:pt idx="54" c:formatCode="yyyy\-mm\-dd">
                  <c:v>45022</c:v>
                </c:pt>
                <c:pt idx="55" c:formatCode="yyyy\-mm\-dd">
                  <c:v>45015</c:v>
                </c:pt>
                <c:pt idx="56" c:formatCode="yyyy\-mm\-dd">
                  <c:v>45008</c:v>
                </c:pt>
                <c:pt idx="57" c:formatCode="yyyy\-mm\-dd">
                  <c:v>45001</c:v>
                </c:pt>
                <c:pt idx="58" c:formatCode="yyyy\-mm\-dd">
                  <c:v>44994</c:v>
                </c:pt>
                <c:pt idx="59" c:formatCode="yyyy\-mm\-dd">
                  <c:v>44987</c:v>
                </c:pt>
                <c:pt idx="60" c:formatCode="yyyy\-mm\-dd">
                  <c:v>44980</c:v>
                </c:pt>
                <c:pt idx="61" c:formatCode="yyyy\-mm\-dd">
                  <c:v>44973</c:v>
                </c:pt>
                <c:pt idx="62" c:formatCode="yyyy\-mm\-dd">
                  <c:v>44966</c:v>
                </c:pt>
                <c:pt idx="63" c:formatCode="yyyy\-mm\-dd">
                  <c:v>44959</c:v>
                </c:pt>
                <c:pt idx="64" c:formatCode="yyyy\-mm\-dd">
                  <c:v>44945</c:v>
                </c:pt>
                <c:pt idx="65" c:formatCode="yyyy\-mm\-dd">
                  <c:v>44938</c:v>
                </c:pt>
                <c:pt idx="66" c:formatCode="yyyy\-mm\-dd">
                  <c:v>44931</c:v>
                </c:pt>
                <c:pt idx="67" c:formatCode="yyyy\-mm\-dd">
                  <c:v>44924</c:v>
                </c:pt>
                <c:pt idx="68" c:formatCode="yyyy\-mm\-dd">
                  <c:v>44917</c:v>
                </c:pt>
                <c:pt idx="69" c:formatCode="yyyy\-mm\-dd">
                  <c:v>44910</c:v>
                </c:pt>
                <c:pt idx="70" c:formatCode="yyyy\-mm\-dd">
                  <c:v>44903</c:v>
                </c:pt>
                <c:pt idx="71" c:formatCode="yyyy\-mm\-dd">
                  <c:v>44896</c:v>
                </c:pt>
                <c:pt idx="72" c:formatCode="yyyy\-mm\-dd">
                  <c:v>44889</c:v>
                </c:pt>
                <c:pt idx="73" c:formatCode="yyyy\-mm\-dd">
                  <c:v>44882</c:v>
                </c:pt>
                <c:pt idx="74" c:formatCode="yyyy\-mm\-dd">
                  <c:v>44875</c:v>
                </c:pt>
                <c:pt idx="75" c:formatCode="yyyy\-mm\-dd">
                  <c:v>44868</c:v>
                </c:pt>
                <c:pt idx="76" c:formatCode="yyyy\-mm\-dd">
                  <c:v>44861</c:v>
                </c:pt>
                <c:pt idx="77" c:formatCode="yyyy\-mm\-dd">
                  <c:v>44854</c:v>
                </c:pt>
                <c:pt idx="78" c:formatCode="yyyy\-mm\-dd">
                  <c:v>44847</c:v>
                </c:pt>
                <c:pt idx="79" c:formatCode="yyyy\-mm\-dd">
                  <c:v>44833</c:v>
                </c:pt>
                <c:pt idx="80" c:formatCode="yyyy\-mm\-dd">
                  <c:v>44826</c:v>
                </c:pt>
                <c:pt idx="81" c:formatCode="yyyy\-mm\-dd">
                  <c:v>44819</c:v>
                </c:pt>
                <c:pt idx="82" c:formatCode="yyyy\-mm\-dd">
                  <c:v>44812</c:v>
                </c:pt>
                <c:pt idx="83" c:formatCode="yyyy\-mm\-dd">
                  <c:v>44805</c:v>
                </c:pt>
                <c:pt idx="84" c:formatCode="yyyy\-mm\-dd">
                  <c:v>44798</c:v>
                </c:pt>
                <c:pt idx="85" c:formatCode="yyyy\-mm\-dd">
                  <c:v>44791</c:v>
                </c:pt>
                <c:pt idx="86" c:formatCode="yyyy\-mm\-dd">
                  <c:v>44784</c:v>
                </c:pt>
                <c:pt idx="87" c:formatCode="yyyy\-mm\-dd">
                  <c:v>44777</c:v>
                </c:pt>
                <c:pt idx="88" c:formatCode="yyyy\-mm\-dd">
                  <c:v>44770</c:v>
                </c:pt>
                <c:pt idx="89" c:formatCode="yyyy\-mm\-dd">
                  <c:v>44763</c:v>
                </c:pt>
                <c:pt idx="90" c:formatCode="yyyy\-mm\-dd">
                  <c:v>44756</c:v>
                </c:pt>
                <c:pt idx="91" c:formatCode="yyyy\-mm\-dd">
                  <c:v>44749</c:v>
                </c:pt>
                <c:pt idx="92" c:formatCode="yyyy\-mm\-dd">
                  <c:v>44742</c:v>
                </c:pt>
                <c:pt idx="93" c:formatCode="yyyy\-mm\-dd">
                  <c:v>44735</c:v>
                </c:pt>
                <c:pt idx="94" c:formatCode="yyyy\-mm\-dd">
                  <c:v>44728</c:v>
                </c:pt>
                <c:pt idx="95" c:formatCode="yyyy\-mm\-dd">
                  <c:v>44721</c:v>
                </c:pt>
                <c:pt idx="96" c:formatCode="yyyy\-mm\-dd">
                  <c:v>44714</c:v>
                </c:pt>
                <c:pt idx="97" c:formatCode="yyyy\-mm\-dd">
                  <c:v>44707</c:v>
                </c:pt>
                <c:pt idx="98" c:formatCode="yyyy\-mm\-dd">
                  <c:v>44700</c:v>
                </c:pt>
                <c:pt idx="99" c:formatCode="yyyy\-mm\-dd">
                  <c:v>44693</c:v>
                </c:pt>
                <c:pt idx="100" c:formatCode="yyyy\-mm\-dd">
                  <c:v>44688</c:v>
                </c:pt>
                <c:pt idx="101" c:formatCode="yyyy\-mm\-dd">
                  <c:v>44679</c:v>
                </c:pt>
                <c:pt idx="102" c:formatCode="yyyy\-mm\-dd">
                  <c:v>44672</c:v>
                </c:pt>
                <c:pt idx="103" c:formatCode="yyyy\-mm\-dd">
                  <c:v>44665</c:v>
                </c:pt>
                <c:pt idx="104" c:formatCode="yyyy\-mm\-dd">
                  <c:v>44658</c:v>
                </c:pt>
                <c:pt idx="105" c:formatCode="yyyy\-mm\-dd">
                  <c:v>44651</c:v>
                </c:pt>
                <c:pt idx="106" c:formatCode="yyyy\-mm\-dd">
                  <c:v>44644</c:v>
                </c:pt>
                <c:pt idx="107" c:formatCode="yyyy\-mm\-dd">
                  <c:v>44637</c:v>
                </c:pt>
                <c:pt idx="108" c:formatCode="yyyy\-mm\-dd">
                  <c:v>44630</c:v>
                </c:pt>
                <c:pt idx="109" c:formatCode="yyyy\-mm\-dd">
                  <c:v>44623</c:v>
                </c:pt>
                <c:pt idx="110" c:formatCode="yyyy\-mm\-dd">
                  <c:v>44616</c:v>
                </c:pt>
                <c:pt idx="111" c:formatCode="yyyy\-mm\-dd">
                  <c:v>44609</c:v>
                </c:pt>
                <c:pt idx="112" c:formatCode="yyyy\-mm\-dd">
                  <c:v>44602</c:v>
                </c:pt>
                <c:pt idx="113" c:formatCode="yyyy\-mm\-dd">
                  <c:v>44588</c:v>
                </c:pt>
                <c:pt idx="114" c:formatCode="yyyy\-mm\-dd">
                  <c:v>44581</c:v>
                </c:pt>
                <c:pt idx="115" c:formatCode="yyyy\-mm\-dd">
                  <c:v>44574</c:v>
                </c:pt>
                <c:pt idx="116" c:formatCode="yyyy\-mm\-dd">
                  <c:v>44567</c:v>
                </c:pt>
                <c:pt idx="117" c:formatCode="yyyy\-mm\-dd">
                  <c:v>44560</c:v>
                </c:pt>
                <c:pt idx="118" c:formatCode="yyyy\-mm\-dd">
                  <c:v>44553</c:v>
                </c:pt>
                <c:pt idx="119" c:formatCode="yyyy\-mm\-dd">
                  <c:v>44546</c:v>
                </c:pt>
                <c:pt idx="120" c:formatCode="yyyy\-mm\-dd">
                  <c:v>44539</c:v>
                </c:pt>
                <c:pt idx="121" c:formatCode="yyyy\-mm\-dd">
                  <c:v>44532</c:v>
                </c:pt>
                <c:pt idx="122" c:formatCode="yyyy\-mm\-dd">
                  <c:v>44525</c:v>
                </c:pt>
                <c:pt idx="123" c:formatCode="yyyy\-mm\-dd">
                  <c:v>44518</c:v>
                </c:pt>
              </c:numCache>
            </c:numRef>
          </c:cat>
          <c:val>
            <c:numRef>
              <c:f>PVC开工!$B$2:$B$125</c:f>
              <c:numCache>
                <c:formatCode>#,##0</c:formatCode>
                <c:ptCount val="124"/>
                <c:pt idx="0">
                  <c:v>75.99</c:v>
                </c:pt>
                <c:pt idx="1">
                  <c:v>76.4</c:v>
                </c:pt>
                <c:pt idx="2">
                  <c:v>73.16</c:v>
                </c:pt>
                <c:pt idx="3">
                  <c:v>72.79</c:v>
                </c:pt>
                <c:pt idx="4">
                  <c:v>74.28</c:v>
                </c:pt>
                <c:pt idx="5">
                  <c:v>76.27</c:v>
                </c:pt>
                <c:pt idx="6">
                  <c:v>76.56</c:v>
                </c:pt>
                <c:pt idx="7">
                  <c:v>75.5</c:v>
                </c:pt>
                <c:pt idx="8">
                  <c:v>75.87</c:v>
                </c:pt>
                <c:pt idx="9">
                  <c:v>76.9</c:v>
                </c:pt>
                <c:pt idx="10">
                  <c:v>79.41</c:v>
                </c:pt>
                <c:pt idx="11">
                  <c:v>79.13</c:v>
                </c:pt>
                <c:pt idx="12">
                  <c:v>78.4</c:v>
                </c:pt>
                <c:pt idx="13">
                  <c:v>78.35</c:v>
                </c:pt>
                <c:pt idx="14">
                  <c:v>78.1</c:v>
                </c:pt>
                <c:pt idx="15">
                  <c:v>78.09</c:v>
                </c:pt>
                <c:pt idx="16">
                  <c:v>77.94</c:v>
                </c:pt>
                <c:pt idx="17">
                  <c:v>77.24</c:v>
                </c:pt>
                <c:pt idx="18">
                  <c:v>77</c:v>
                </c:pt>
                <c:pt idx="19">
                  <c:v>77.27</c:v>
                </c:pt>
                <c:pt idx="20">
                  <c:v>77.95</c:v>
                </c:pt>
                <c:pt idx="21">
                  <c:v>78.63</c:v>
                </c:pt>
                <c:pt idx="22">
                  <c:v>75.14</c:v>
                </c:pt>
                <c:pt idx="23">
                  <c:v>73.89</c:v>
                </c:pt>
                <c:pt idx="24">
                  <c:v>72.3</c:v>
                </c:pt>
                <c:pt idx="25">
                  <c:v>71.7</c:v>
                </c:pt>
                <c:pt idx="26">
                  <c:v>73.37</c:v>
                </c:pt>
                <c:pt idx="27">
                  <c:v>70.67</c:v>
                </c:pt>
                <c:pt idx="28">
                  <c:v>71.36</c:v>
                </c:pt>
                <c:pt idx="29">
                  <c:v>71.59</c:v>
                </c:pt>
                <c:pt idx="30">
                  <c:v>72.47</c:v>
                </c:pt>
                <c:pt idx="31">
                  <c:v>73.12</c:v>
                </c:pt>
                <c:pt idx="32">
                  <c:v>72.36</c:v>
                </c:pt>
                <c:pt idx="33">
                  <c:v>70.59</c:v>
                </c:pt>
                <c:pt idx="34">
                  <c:v>71.38</c:v>
                </c:pt>
                <c:pt idx="35">
                  <c:v>70.19</c:v>
                </c:pt>
                <c:pt idx="36">
                  <c:v>70.43</c:v>
                </c:pt>
                <c:pt idx="37">
                  <c:v>69.47</c:v>
                </c:pt>
                <c:pt idx="38">
                  <c:v>69.51</c:v>
                </c:pt>
                <c:pt idx="39">
                  <c:v>70.02</c:v>
                </c:pt>
                <c:pt idx="40">
                  <c:v>69.69</c:v>
                </c:pt>
                <c:pt idx="41">
                  <c:v>70.05</c:v>
                </c:pt>
                <c:pt idx="42">
                  <c:v>69.15</c:v>
                </c:pt>
                <c:pt idx="43">
                  <c:v>68.99</c:v>
                </c:pt>
                <c:pt idx="44">
                  <c:v>66.36</c:v>
                </c:pt>
                <c:pt idx="45">
                  <c:v>66.53</c:v>
                </c:pt>
                <c:pt idx="46">
                  <c:v>68.42</c:v>
                </c:pt>
                <c:pt idx="47">
                  <c:v>68.62</c:v>
                </c:pt>
                <c:pt idx="48">
                  <c:v>67.4</c:v>
                </c:pt>
                <c:pt idx="49">
                  <c:v>68.51</c:v>
                </c:pt>
                <c:pt idx="50">
                  <c:v>69.42</c:v>
                </c:pt>
                <c:pt idx="51">
                  <c:v>68.89</c:v>
                </c:pt>
                <c:pt idx="52">
                  <c:v>70.33</c:v>
                </c:pt>
                <c:pt idx="53">
                  <c:v>71.73</c:v>
                </c:pt>
                <c:pt idx="54">
                  <c:v>73.06</c:v>
                </c:pt>
                <c:pt idx="55">
                  <c:v>73.66</c:v>
                </c:pt>
                <c:pt idx="56">
                  <c:v>74.31</c:v>
                </c:pt>
                <c:pt idx="57">
                  <c:v>73.26</c:v>
                </c:pt>
                <c:pt idx="58">
                  <c:v>73.01</c:v>
                </c:pt>
                <c:pt idx="59">
                  <c:v>72.79</c:v>
                </c:pt>
                <c:pt idx="60">
                  <c:v>73.9</c:v>
                </c:pt>
                <c:pt idx="61">
                  <c:v>71.97</c:v>
                </c:pt>
                <c:pt idx="62">
                  <c:v>73.74</c:v>
                </c:pt>
                <c:pt idx="63">
                  <c:v>71.08</c:v>
                </c:pt>
                <c:pt idx="64">
                  <c:v>70.78</c:v>
                </c:pt>
                <c:pt idx="65">
                  <c:v>70.21</c:v>
                </c:pt>
                <c:pt idx="66">
                  <c:v>69.09</c:v>
                </c:pt>
                <c:pt idx="67">
                  <c:v>67.96</c:v>
                </c:pt>
                <c:pt idx="68">
                  <c:v>66.81</c:v>
                </c:pt>
                <c:pt idx="69">
                  <c:v>66</c:v>
                </c:pt>
                <c:pt idx="70">
                  <c:v>68.5</c:v>
                </c:pt>
                <c:pt idx="71">
                  <c:v>69.03</c:v>
                </c:pt>
                <c:pt idx="72">
                  <c:v>68.71</c:v>
                </c:pt>
                <c:pt idx="73">
                  <c:v>67.98</c:v>
                </c:pt>
                <c:pt idx="74">
                  <c:v>67.01</c:v>
                </c:pt>
                <c:pt idx="75">
                  <c:v>69.06</c:v>
                </c:pt>
                <c:pt idx="76">
                  <c:v>70.57</c:v>
                </c:pt>
                <c:pt idx="77">
                  <c:v>72.91</c:v>
                </c:pt>
                <c:pt idx="78">
                  <c:v>72.34</c:v>
                </c:pt>
                <c:pt idx="79">
                  <c:v>72.05</c:v>
                </c:pt>
                <c:pt idx="80">
                  <c:v>71.03</c:v>
                </c:pt>
                <c:pt idx="81">
                  <c:v>75.01</c:v>
                </c:pt>
                <c:pt idx="82">
                  <c:v>73.69</c:v>
                </c:pt>
                <c:pt idx="83">
                  <c:v>70.48</c:v>
                </c:pt>
                <c:pt idx="84">
                  <c:v>68.26</c:v>
                </c:pt>
                <c:pt idx="85">
                  <c:v>70.43</c:v>
                </c:pt>
                <c:pt idx="86">
                  <c:v>74.41</c:v>
                </c:pt>
                <c:pt idx="87">
                  <c:v>75.95</c:v>
                </c:pt>
                <c:pt idx="88">
                  <c:v>77.41</c:v>
                </c:pt>
                <c:pt idx="89">
                  <c:v>77.47</c:v>
                </c:pt>
                <c:pt idx="90">
                  <c:v>78.84</c:v>
                </c:pt>
                <c:pt idx="91">
                  <c:v>79.23</c:v>
                </c:pt>
                <c:pt idx="92">
                  <c:v>80.54</c:v>
                </c:pt>
                <c:pt idx="93">
                  <c:v>78.86</c:v>
                </c:pt>
                <c:pt idx="94">
                  <c:v>77.82</c:v>
                </c:pt>
                <c:pt idx="95">
                  <c:v>77.39</c:v>
                </c:pt>
                <c:pt idx="96">
                  <c:v>75.75</c:v>
                </c:pt>
                <c:pt idx="97">
                  <c:v>73.94</c:v>
                </c:pt>
                <c:pt idx="98">
                  <c:v>77.98</c:v>
                </c:pt>
                <c:pt idx="99">
                  <c:v>78.64</c:v>
                </c:pt>
                <c:pt idx="100">
                  <c:v>77.69</c:v>
                </c:pt>
                <c:pt idx="101">
                  <c:v>76.6</c:v>
                </c:pt>
                <c:pt idx="102">
                  <c:v>76.17</c:v>
                </c:pt>
                <c:pt idx="103">
                  <c:v>78.26</c:v>
                </c:pt>
                <c:pt idx="104">
                  <c:v>78.94</c:v>
                </c:pt>
                <c:pt idx="105">
                  <c:v>78.15</c:v>
                </c:pt>
                <c:pt idx="106">
                  <c:v>80.9</c:v>
                </c:pt>
                <c:pt idx="107">
                  <c:v>80.32</c:v>
                </c:pt>
                <c:pt idx="108">
                  <c:v>80.12</c:v>
                </c:pt>
                <c:pt idx="109">
                  <c:v>79.65</c:v>
                </c:pt>
                <c:pt idx="110">
                  <c:v>79.53</c:v>
                </c:pt>
                <c:pt idx="111">
                  <c:v>79.15</c:v>
                </c:pt>
                <c:pt idx="112">
                  <c:v>79.75</c:v>
                </c:pt>
                <c:pt idx="113">
                  <c:v>79.01</c:v>
                </c:pt>
                <c:pt idx="114">
                  <c:v>78.46</c:v>
                </c:pt>
                <c:pt idx="115">
                  <c:v>76.87</c:v>
                </c:pt>
                <c:pt idx="116">
                  <c:v>77.59</c:v>
                </c:pt>
                <c:pt idx="117">
                  <c:v>77.03</c:v>
                </c:pt>
                <c:pt idx="118">
                  <c:v>75.88</c:v>
                </c:pt>
                <c:pt idx="119">
                  <c:v>79.29</c:v>
                </c:pt>
                <c:pt idx="120">
                  <c:v>75.97</c:v>
                </c:pt>
                <c:pt idx="121">
                  <c:v>75.84</c:v>
                </c:pt>
                <c:pt idx="122">
                  <c:v>74.71</c:v>
                </c:pt>
                <c:pt idx="123">
                  <c:v>71.94</c:v>
                </c:pt>
              </c:numCache>
            </c:numRef>
          </c:val>
          <c:smooth val="0"/>
        </c:ser>
        <c:dLbls>
          <c:showLegendKey val="0"/>
          <c:showVal val="0"/>
          <c:showCatName val="0"/>
          <c:showSerName val="0"/>
          <c:showPercent val="0"/>
          <c:showBubbleSize val="0"/>
        </c:dLbls>
        <c:marker val="0"/>
        <c:smooth val="0"/>
        <c:axId val="1479454175"/>
        <c:axId val="1479462335"/>
      </c:lineChart>
      <c:dateAx>
        <c:axId val="1479454175"/>
        <c:scaling>
          <c:orientation val="minMax"/>
        </c:scaling>
        <c:delete val="0"/>
        <c:axPos val="b"/>
        <c:numFmt formatCode="yyyy\-mm\-dd"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479462335"/>
        <c:crosses val="autoZero"/>
        <c:auto val="1"/>
        <c:lblOffset val="100"/>
        <c:baseTimeUnit val="days"/>
      </c:dateAx>
      <c:valAx>
        <c:axId val="147946233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47945417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氢氧化钠(烧碱)(折100%)生产量（万吨）</c:v>
                </c:pt>
              </c:strCache>
            </c:strRef>
          </c:tx>
          <c:spPr>
            <a:ln w="28575" cap="rnd">
              <a:solidFill>
                <a:schemeClr val="accent1"/>
              </a:solidFill>
              <a:round/>
            </a:ln>
            <a:effectLst/>
          </c:spPr>
          <c:marker>
            <c:symbol val="none"/>
          </c:marker>
          <c:dLbls>
            <c:delete val="1"/>
          </c:dLbls>
          <c:cat>
            <c:numRef>
              <c:f>Sheet1!$A$2:$A$15</c:f>
              <c:numCache>
                <c:formatCode>yyyy</c:formatCode>
                <c:ptCount val="14"/>
                <c:pt idx="0" c:formatCode="yyyy">
                  <c:v>45291</c:v>
                </c:pt>
                <c:pt idx="1" c:formatCode="yyyy">
                  <c:v>44926</c:v>
                </c:pt>
                <c:pt idx="2" c:formatCode="yyyy">
                  <c:v>44561</c:v>
                </c:pt>
                <c:pt idx="3" c:formatCode="yyyy">
                  <c:v>44196</c:v>
                </c:pt>
                <c:pt idx="4" c:formatCode="yyyy">
                  <c:v>43830</c:v>
                </c:pt>
                <c:pt idx="5" c:formatCode="yyyy">
                  <c:v>43465</c:v>
                </c:pt>
                <c:pt idx="6" c:formatCode="yyyy">
                  <c:v>43100</c:v>
                </c:pt>
                <c:pt idx="7" c:formatCode="yyyy">
                  <c:v>42735</c:v>
                </c:pt>
                <c:pt idx="8" c:formatCode="yyyy">
                  <c:v>42369</c:v>
                </c:pt>
                <c:pt idx="9" c:formatCode="yyyy">
                  <c:v>42004</c:v>
                </c:pt>
                <c:pt idx="10" c:formatCode="yyyy">
                  <c:v>41639</c:v>
                </c:pt>
                <c:pt idx="11" c:formatCode="yyyy">
                  <c:v>41274</c:v>
                </c:pt>
                <c:pt idx="12" c:formatCode="yyyy">
                  <c:v>40908</c:v>
                </c:pt>
                <c:pt idx="13" c:formatCode="yyyy">
                  <c:v>40543</c:v>
                </c:pt>
              </c:numCache>
            </c:numRef>
          </c:cat>
          <c:val>
            <c:numRef>
              <c:f>Sheet1!$B$2:$B$15</c:f>
              <c:numCache>
                <c:formatCode>#,##0</c:formatCode>
                <c:ptCount val="14"/>
                <c:pt idx="0">
                  <c:v>4101.4</c:v>
                </c:pt>
                <c:pt idx="1">
                  <c:v>3980.53</c:v>
                </c:pt>
                <c:pt idx="2">
                  <c:v>3891.31</c:v>
                </c:pt>
                <c:pt idx="3">
                  <c:v>3673.87</c:v>
                </c:pt>
                <c:pt idx="4">
                  <c:v>3457.89</c:v>
                </c:pt>
                <c:pt idx="5">
                  <c:v>3475.47</c:v>
                </c:pt>
                <c:pt idx="6">
                  <c:v>3329.17</c:v>
                </c:pt>
                <c:pt idx="7">
                  <c:v>3201.68</c:v>
                </c:pt>
                <c:pt idx="8">
                  <c:v>3020.66</c:v>
                </c:pt>
                <c:pt idx="9">
                  <c:v>3063.51</c:v>
                </c:pt>
                <c:pt idx="10">
                  <c:v>2927.44</c:v>
                </c:pt>
                <c:pt idx="11">
                  <c:v>2696.82</c:v>
                </c:pt>
                <c:pt idx="12">
                  <c:v>2473.52</c:v>
                </c:pt>
                <c:pt idx="13">
                  <c:v>2228.39</c:v>
                </c:pt>
              </c:numCache>
            </c:numRef>
          </c:val>
          <c:smooth val="0"/>
        </c:ser>
        <c:dLbls>
          <c:showLegendKey val="0"/>
          <c:showVal val="0"/>
          <c:showCatName val="0"/>
          <c:showSerName val="0"/>
          <c:showPercent val="0"/>
          <c:showBubbleSize val="0"/>
        </c:dLbls>
        <c:marker val="0"/>
        <c:smooth val="0"/>
        <c:axId val="1457112735"/>
        <c:axId val="1457096895"/>
      </c:lineChart>
      <c:dateAx>
        <c:axId val="1457112735"/>
        <c:scaling>
          <c:orientation val="minMax"/>
        </c:scaling>
        <c:delete val="0"/>
        <c:axPos val="b"/>
        <c:numFmt formatCode="yyyy"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457096895"/>
        <c:crosses val="autoZero"/>
        <c:auto val="1"/>
        <c:lblOffset val="100"/>
        <c:baseTimeUnit val="years"/>
      </c:dateAx>
      <c:valAx>
        <c:axId val="145709689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4571127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PVC价格!$B$1</c:f>
              <c:strCache>
                <c:ptCount val="1"/>
                <c:pt idx="0">
                  <c:v>综合价格指数:PVC</c:v>
                </c:pt>
              </c:strCache>
            </c:strRef>
          </c:tx>
          <c:spPr>
            <a:ln w="28575" cap="rnd">
              <a:solidFill>
                <a:schemeClr val="accent1"/>
              </a:solidFill>
              <a:round/>
            </a:ln>
            <a:effectLst/>
          </c:spPr>
          <c:marker>
            <c:symbol val="none"/>
          </c:marker>
          <c:dLbls>
            <c:delete val="1"/>
          </c:dLbls>
          <c:cat>
            <c:numRef>
              <c:f>PVC价格!$A$2:$A$64</c:f>
              <c:numCache>
                <c:formatCode>yyyy\-mm\-dd</c:formatCode>
                <c:ptCount val="63"/>
                <c:pt idx="0" c:formatCode="yyyy\-mm\-dd">
                  <c:v>45423</c:v>
                </c:pt>
                <c:pt idx="1" c:formatCode="yyyy\-mm\-dd">
                  <c:v>45412</c:v>
                </c:pt>
                <c:pt idx="2" c:formatCode="yyyy\-mm\-dd">
                  <c:v>45408</c:v>
                </c:pt>
                <c:pt idx="3" c:formatCode="yyyy\-mm\-dd">
                  <c:v>45401</c:v>
                </c:pt>
                <c:pt idx="4" c:formatCode="yyyy\-mm\-dd">
                  <c:v>45394</c:v>
                </c:pt>
                <c:pt idx="5" c:formatCode="yyyy\-mm\-dd">
                  <c:v>45390</c:v>
                </c:pt>
                <c:pt idx="6" c:formatCode="yyyy\-mm\-dd">
                  <c:v>45380</c:v>
                </c:pt>
                <c:pt idx="7" c:formatCode="yyyy\-mm\-dd">
                  <c:v>45373</c:v>
                </c:pt>
                <c:pt idx="8" c:formatCode="yyyy\-mm\-dd">
                  <c:v>45366</c:v>
                </c:pt>
                <c:pt idx="9" c:formatCode="yyyy\-mm\-dd">
                  <c:v>45359</c:v>
                </c:pt>
                <c:pt idx="10" c:formatCode="yyyy\-mm\-dd">
                  <c:v>45310</c:v>
                </c:pt>
                <c:pt idx="11" c:formatCode="yyyy\-mm\-dd">
                  <c:v>45303</c:v>
                </c:pt>
                <c:pt idx="12" c:formatCode="yyyy\-mm\-dd">
                  <c:v>45296</c:v>
                </c:pt>
                <c:pt idx="13" c:formatCode="yyyy\-mm\-dd">
                  <c:v>45289</c:v>
                </c:pt>
                <c:pt idx="14" c:formatCode="yyyy\-mm\-dd">
                  <c:v>45282</c:v>
                </c:pt>
                <c:pt idx="15" c:formatCode="yyyy\-mm\-dd">
                  <c:v>45275</c:v>
                </c:pt>
                <c:pt idx="16" c:formatCode="yyyy\-mm\-dd">
                  <c:v>45268</c:v>
                </c:pt>
                <c:pt idx="17" c:formatCode="yyyy\-mm\-dd">
                  <c:v>45261</c:v>
                </c:pt>
                <c:pt idx="18" c:formatCode="yyyy\-mm\-dd">
                  <c:v>45254</c:v>
                </c:pt>
                <c:pt idx="19" c:formatCode="yyyy\-mm\-dd">
                  <c:v>45247</c:v>
                </c:pt>
                <c:pt idx="20" c:formatCode="yyyy\-mm\-dd">
                  <c:v>45240</c:v>
                </c:pt>
                <c:pt idx="21" c:formatCode="yyyy\-mm\-dd">
                  <c:v>45233</c:v>
                </c:pt>
                <c:pt idx="22" c:formatCode="yyyy\-mm\-dd">
                  <c:v>45226</c:v>
                </c:pt>
                <c:pt idx="23" c:formatCode="yyyy\-mm\-dd">
                  <c:v>45221</c:v>
                </c:pt>
                <c:pt idx="24" c:formatCode="yyyy\-mm\-dd">
                  <c:v>45212</c:v>
                </c:pt>
                <c:pt idx="25" c:formatCode="yyyy\-mm\-dd">
                  <c:v>45197</c:v>
                </c:pt>
                <c:pt idx="26" c:formatCode="yyyy\-mm\-dd">
                  <c:v>45191</c:v>
                </c:pt>
                <c:pt idx="27" c:formatCode="yyyy\-mm\-dd">
                  <c:v>45184</c:v>
                </c:pt>
                <c:pt idx="28" c:formatCode="yyyy\-mm\-dd">
                  <c:v>45177</c:v>
                </c:pt>
                <c:pt idx="29" c:formatCode="yyyy\-mm\-dd">
                  <c:v>45170</c:v>
                </c:pt>
                <c:pt idx="30" c:formatCode="yyyy\-mm\-dd">
                  <c:v>45163</c:v>
                </c:pt>
                <c:pt idx="31" c:formatCode="yyyy\-mm\-dd">
                  <c:v>45158</c:v>
                </c:pt>
                <c:pt idx="32" c:formatCode="yyyy\-mm\-dd">
                  <c:v>45149</c:v>
                </c:pt>
                <c:pt idx="33" c:formatCode="yyyy\-mm\-dd">
                  <c:v>45142</c:v>
                </c:pt>
                <c:pt idx="34" c:formatCode="yyyy\-mm\-dd">
                  <c:v>45135</c:v>
                </c:pt>
                <c:pt idx="35" c:formatCode="yyyy\-mm\-dd">
                  <c:v>45128</c:v>
                </c:pt>
                <c:pt idx="36" c:formatCode="yyyy\-mm\-dd">
                  <c:v>45121</c:v>
                </c:pt>
                <c:pt idx="37" c:formatCode="yyyy\-mm\-dd">
                  <c:v>45114</c:v>
                </c:pt>
                <c:pt idx="38" c:formatCode="yyyy\-mm\-dd">
                  <c:v>45107</c:v>
                </c:pt>
                <c:pt idx="39" c:formatCode="yyyy\-mm\-dd">
                  <c:v>45098</c:v>
                </c:pt>
                <c:pt idx="40" c:formatCode="yyyy\-mm\-dd">
                  <c:v>45093</c:v>
                </c:pt>
                <c:pt idx="41" c:formatCode="yyyy\-mm\-dd">
                  <c:v>45086</c:v>
                </c:pt>
                <c:pt idx="42" c:formatCode="yyyy\-mm\-dd">
                  <c:v>45079</c:v>
                </c:pt>
                <c:pt idx="43" c:formatCode="yyyy\-mm\-dd">
                  <c:v>45072</c:v>
                </c:pt>
                <c:pt idx="44" c:formatCode="yyyy\-mm\-dd">
                  <c:v>45058</c:v>
                </c:pt>
                <c:pt idx="45" c:formatCode="yyyy\-mm\-dd">
                  <c:v>45052</c:v>
                </c:pt>
                <c:pt idx="46" c:formatCode="yyyy\-mm\-dd">
                  <c:v>45037</c:v>
                </c:pt>
                <c:pt idx="47" c:formatCode="yyyy\-mm\-dd">
                  <c:v>45030</c:v>
                </c:pt>
                <c:pt idx="48" c:formatCode="yyyy\-mm\-dd">
                  <c:v>45026</c:v>
                </c:pt>
                <c:pt idx="49" c:formatCode="yyyy\-mm\-dd">
                  <c:v>45016</c:v>
                </c:pt>
                <c:pt idx="50" c:formatCode="yyyy\-mm\-dd">
                  <c:v>45009</c:v>
                </c:pt>
                <c:pt idx="51" c:formatCode="yyyy\-mm\-dd">
                  <c:v>45002</c:v>
                </c:pt>
                <c:pt idx="52" c:formatCode="yyyy\-mm\-dd">
                  <c:v>44995</c:v>
                </c:pt>
                <c:pt idx="53" c:formatCode="yyyy\-mm\-dd">
                  <c:v>44988</c:v>
                </c:pt>
                <c:pt idx="54" c:formatCode="yyyy\-mm\-dd">
                  <c:v>44981</c:v>
                </c:pt>
                <c:pt idx="55" c:formatCode="yyyy\-mm\-dd">
                  <c:v>44974</c:v>
                </c:pt>
                <c:pt idx="56" c:formatCode="yyyy\-mm\-dd">
                  <c:v>44967</c:v>
                </c:pt>
                <c:pt idx="57" c:formatCode="yyyy\-mm\-dd">
                  <c:v>44960</c:v>
                </c:pt>
                <c:pt idx="58" c:formatCode="yyyy\-mm\-dd">
                  <c:v>44939</c:v>
                </c:pt>
                <c:pt idx="59" c:formatCode="yyyy\-mm\-dd">
                  <c:v>44935</c:v>
                </c:pt>
                <c:pt idx="60" c:formatCode="yyyy\-mm\-dd">
                  <c:v>44925</c:v>
                </c:pt>
                <c:pt idx="61" c:formatCode="yyyy\-mm\-dd">
                  <c:v>44918</c:v>
                </c:pt>
                <c:pt idx="62" c:formatCode="yyyy\-mm\-dd">
                  <c:v>44902</c:v>
                </c:pt>
              </c:numCache>
            </c:numRef>
          </c:cat>
          <c:val>
            <c:numRef>
              <c:f>PVC价格!$B$2:$B$64</c:f>
              <c:numCache>
                <c:formatCode>#,##0</c:formatCode>
                <c:ptCount val="63"/>
                <c:pt idx="0">
                  <c:v>5547</c:v>
                </c:pt>
                <c:pt idx="1">
                  <c:v>5490</c:v>
                </c:pt>
                <c:pt idx="2">
                  <c:v>5480</c:v>
                </c:pt>
                <c:pt idx="3">
                  <c:v>5453</c:v>
                </c:pt>
                <c:pt idx="4">
                  <c:v>5463</c:v>
                </c:pt>
                <c:pt idx="5">
                  <c:v>5447</c:v>
                </c:pt>
                <c:pt idx="6">
                  <c:v>5457</c:v>
                </c:pt>
                <c:pt idx="7">
                  <c:v>5573</c:v>
                </c:pt>
                <c:pt idx="8">
                  <c:v>5540</c:v>
                </c:pt>
                <c:pt idx="9">
                  <c:v>5540</c:v>
                </c:pt>
                <c:pt idx="10">
                  <c:v>5497</c:v>
                </c:pt>
                <c:pt idx="11">
                  <c:v>5510</c:v>
                </c:pt>
                <c:pt idx="12">
                  <c:v>5500</c:v>
                </c:pt>
                <c:pt idx="13">
                  <c:v>5567</c:v>
                </c:pt>
                <c:pt idx="14">
                  <c:v>5707</c:v>
                </c:pt>
                <c:pt idx="15">
                  <c:v>5680</c:v>
                </c:pt>
                <c:pt idx="16">
                  <c:v>5640</c:v>
                </c:pt>
                <c:pt idx="17">
                  <c:v>5593</c:v>
                </c:pt>
                <c:pt idx="18">
                  <c:v>5660</c:v>
                </c:pt>
                <c:pt idx="19">
                  <c:v>5777</c:v>
                </c:pt>
                <c:pt idx="20">
                  <c:v>5810</c:v>
                </c:pt>
                <c:pt idx="21">
                  <c:v>5850</c:v>
                </c:pt>
                <c:pt idx="22">
                  <c:v>5807</c:v>
                </c:pt>
                <c:pt idx="23">
                  <c:v>5753</c:v>
                </c:pt>
                <c:pt idx="24">
                  <c:v>5710</c:v>
                </c:pt>
                <c:pt idx="25">
                  <c:v>5920</c:v>
                </c:pt>
                <c:pt idx="26">
                  <c:v>6080</c:v>
                </c:pt>
                <c:pt idx="27">
                  <c:v>6233</c:v>
                </c:pt>
                <c:pt idx="28">
                  <c:v>6247</c:v>
                </c:pt>
                <c:pt idx="29">
                  <c:v>6163</c:v>
                </c:pt>
                <c:pt idx="30">
                  <c:v>6143</c:v>
                </c:pt>
                <c:pt idx="31">
                  <c:v>6037</c:v>
                </c:pt>
                <c:pt idx="32">
                  <c:v>5973</c:v>
                </c:pt>
                <c:pt idx="33">
                  <c:v>6000</c:v>
                </c:pt>
                <c:pt idx="34">
                  <c:v>6000</c:v>
                </c:pt>
                <c:pt idx="35">
                  <c:v>5818</c:v>
                </c:pt>
                <c:pt idx="36">
                  <c:v>5893</c:v>
                </c:pt>
                <c:pt idx="37">
                  <c:v>5563</c:v>
                </c:pt>
                <c:pt idx="38">
                  <c:v>5567</c:v>
                </c:pt>
                <c:pt idx="39">
                  <c:v>5567</c:v>
                </c:pt>
                <c:pt idx="40">
                  <c:v>5583</c:v>
                </c:pt>
                <c:pt idx="41">
                  <c:v>5500</c:v>
                </c:pt>
                <c:pt idx="42">
                  <c:v>5560</c:v>
                </c:pt>
                <c:pt idx="43">
                  <c:v>5523</c:v>
                </c:pt>
                <c:pt idx="44">
                  <c:v>5700</c:v>
                </c:pt>
                <c:pt idx="45">
                  <c:v>5833</c:v>
                </c:pt>
                <c:pt idx="46">
                  <c:v>6027</c:v>
                </c:pt>
                <c:pt idx="47">
                  <c:v>5950</c:v>
                </c:pt>
                <c:pt idx="48">
                  <c:v>6050</c:v>
                </c:pt>
                <c:pt idx="49">
                  <c:v>6127</c:v>
                </c:pt>
                <c:pt idx="50">
                  <c:v>5967</c:v>
                </c:pt>
                <c:pt idx="51">
                  <c:v>6067</c:v>
                </c:pt>
                <c:pt idx="52">
                  <c:v>6163</c:v>
                </c:pt>
                <c:pt idx="53">
                  <c:v>6213</c:v>
                </c:pt>
                <c:pt idx="54">
                  <c:v>6317</c:v>
                </c:pt>
                <c:pt idx="55">
                  <c:v>6167</c:v>
                </c:pt>
                <c:pt idx="56">
                  <c:v>6120</c:v>
                </c:pt>
                <c:pt idx="57">
                  <c:v>6133</c:v>
                </c:pt>
                <c:pt idx="58">
                  <c:v>6250</c:v>
                </c:pt>
                <c:pt idx="59">
                  <c:v>6117</c:v>
                </c:pt>
                <c:pt idx="60">
                  <c:v>6117</c:v>
                </c:pt>
                <c:pt idx="61">
                  <c:v>6133</c:v>
                </c:pt>
                <c:pt idx="62">
                  <c:v>5983</c:v>
                </c:pt>
              </c:numCache>
            </c:numRef>
          </c:val>
          <c:smooth val="0"/>
        </c:ser>
        <c:dLbls>
          <c:showLegendKey val="0"/>
          <c:showVal val="0"/>
          <c:showCatName val="0"/>
          <c:showSerName val="0"/>
          <c:showPercent val="0"/>
          <c:showBubbleSize val="0"/>
        </c:dLbls>
        <c:marker val="0"/>
        <c:smooth val="0"/>
        <c:axId val="1343512015"/>
        <c:axId val="1343511535"/>
      </c:lineChart>
      <c:dateAx>
        <c:axId val="1343512015"/>
        <c:scaling>
          <c:orientation val="minMax"/>
        </c:scaling>
        <c:delete val="0"/>
        <c:axPos val="b"/>
        <c:numFmt formatCode="yyyy\-mm\-dd"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343511535"/>
        <c:crosses val="autoZero"/>
        <c:auto val="1"/>
        <c:lblOffset val="100"/>
        <c:baseTimeUnit val="days"/>
      </c:dateAx>
      <c:valAx>
        <c:axId val="1343511535"/>
        <c:scaling>
          <c:orientation val="minMax"/>
        </c:scaling>
        <c:delete val="0"/>
        <c:axPos val="l"/>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34351201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[工作簿1]风、氢新增装机容量!$B$2</c:f>
              <c:strCache>
                <c:ptCount val="1"/>
                <c:pt idx="0">
                  <c:v>新增装机</c:v>
                </c:pt>
              </c:strCache>
            </c:strRef>
          </c:tx>
          <c:spPr>
            <a:solidFill>
              <a:schemeClr val="accent1"/>
            </a:solidFill>
            <a:ln>
              <a:noFill/>
            </a:ln>
            <a:effectLst/>
          </c:spPr>
          <c:invertIfNegative val="0"/>
          <c:dLbls>
            <c:delete val="1"/>
          </c:dLbls>
          <c:cat>
            <c:numRef>
              <c:f>[工作簿1]风、氢新增装机容量!$A$3:$A$13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[工作簿1]风、氢新增装机容量!$B$3:$B$13</c:f>
              <c:numCache>
                <c:formatCode>General</c:formatCode>
                <c:ptCount val="11"/>
                <c:pt idx="0">
                  <c:v>1296</c:v>
                </c:pt>
                <c:pt idx="1">
                  <c:v>1609</c:v>
                </c:pt>
                <c:pt idx="2">
                  <c:v>2320</c:v>
                </c:pt>
                <c:pt idx="3">
                  <c:v>3075</c:v>
                </c:pt>
                <c:pt idx="4">
                  <c:v>2337</c:v>
                </c:pt>
                <c:pt idx="5">
                  <c:v>1966</c:v>
                </c:pt>
                <c:pt idx="6">
                  <c:v>2114</c:v>
                </c:pt>
                <c:pt idx="7">
                  <c:v>2679</c:v>
                </c:pt>
                <c:pt idx="8">
                  <c:v>5443</c:v>
                </c:pt>
                <c:pt idx="9">
                  <c:v>5592</c:v>
                </c:pt>
                <c:pt idx="10">
                  <c:v>4983</c:v>
                </c:pt>
              </c:numCache>
            </c:numRef>
          </c:val>
        </c:ser>
        <c:ser>
          <c:idx val="1"/>
          <c:order val="1"/>
          <c:tx>
            <c:strRef>
              <c:f>[工作簿1]风、氢新增装机容量!$C$2</c:f>
              <c:strCache>
                <c:ptCount val="1"/>
                <c:pt idx="0">
                  <c:v>累计装机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[工作簿1]风、氢新增装机容量!$A$3:$A$13</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[工作簿1]风、氢新增装机容量!$C$3:$C$13</c:f>
              <c:numCache>
                <c:formatCode>General</c:formatCode>
                <c:ptCount val="11"/>
                <c:pt idx="0">
                  <c:v>7532</c:v>
                </c:pt>
                <c:pt idx="1">
                  <c:v>9141</c:v>
                </c:pt>
                <c:pt idx="2">
                  <c:v>11461</c:v>
                </c:pt>
                <c:pt idx="3">
                  <c:v>14536</c:v>
                </c:pt>
                <c:pt idx="4">
                  <c:v>16873</c:v>
                </c:pt>
                <c:pt idx="5">
                  <c:v>18839</c:v>
                </c:pt>
                <c:pt idx="6">
                  <c:v>20953</c:v>
                </c:pt>
                <c:pt idx="7">
                  <c:v>23632</c:v>
                </c:pt>
                <c:pt idx="8">
                  <c:v>29075</c:v>
                </c:pt>
                <c:pt idx="9">
                  <c:v>34667</c:v>
                </c:pt>
                <c:pt idx="10">
                  <c:v>39557</c:v>
                </c:pt>
              </c:numCache>
            </c:numRef>
          </c:val>
        </c:ser>
        <c:dLbls>
          <c:showLegendKey val="0"/>
          <c:showVal val="1"/>
          <c:showCatName val="0"/>
          <c:showSerName val="0"/>
          <c:showPercent val="0"/>
          <c:showBubbleSize val="0"/>
        </c:dLbls>
        <c:gapWidth val="246"/>
        <c:overlap val="-28"/>
        <c:axId val="986834076"/>
        <c:axId val="491971079"/>
      </c:barChart>
      <c:catAx>
        <c:axId val="986834076"/>
        <c:scaling>
          <c:orientation val="minMax"/>
        </c:scaling>
        <c:delete val="0"/>
        <c:axPos val="b"/>
        <c:numFmt formatCode="General" sourceLinked="0"/>
        <c:majorTickMark val="none"/>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91971079"/>
        <c:crosses val="autoZero"/>
        <c:auto val="1"/>
        <c:lblAlgn val="ctr"/>
        <c:lblOffset val="100"/>
        <c:noMultiLvlLbl val="0"/>
      </c:catAx>
      <c:valAx>
        <c:axId val="491971079"/>
        <c:scaling>
          <c:orientation val="minMax"/>
        </c:scaling>
        <c:delete val="0"/>
        <c:axPos val="l"/>
        <c:numFmt formatCode="General" sourceLinked="1"/>
        <c:majorTickMark val="none"/>
        <c:minorTickMark val="none"/>
        <c:tickLblPos val="nextTo"/>
        <c:spPr>
          <a:noFill/>
          <a:ln w="9525"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8683407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12700" cap="flat" cmpd="sng" algn="ctr">
      <a:noFill/>
      <a:prstDash val="solid"/>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[工作簿1]光伏装机容量!$B$2:$H$2</c:f>
              <c:strCache>
                <c:ptCount val="7"/>
                <c:pt idx="0">
                  <c:v>2017</c:v>
                </c:pt>
                <c:pt idx="1">
                  <c:v>2018</c:v>
                </c:pt>
                <c:pt idx="2">
                  <c:v>2019</c:v>
                </c:pt>
                <c:pt idx="3">
                  <c:v>2020</c:v>
                </c:pt>
                <c:pt idx="4">
                  <c:v>2021</c:v>
                </c:pt>
                <c:pt idx="5">
                  <c:v>2022</c:v>
                </c:pt>
                <c:pt idx="6">
                  <c:v>2023Q2</c:v>
                </c:pt>
              </c:strCache>
            </c:strRef>
          </c:cat>
          <c:val>
            <c:numRef>
              <c:f>[工作簿1]光伏装机容量!$B$3:$H$3</c:f>
              <c:numCache>
                <c:formatCode>General</c:formatCode>
                <c:ptCount val="7"/>
                <c:pt idx="0">
                  <c:v>5306</c:v>
                </c:pt>
                <c:pt idx="1">
                  <c:v>4410</c:v>
                </c:pt>
                <c:pt idx="2">
                  <c:v>3011</c:v>
                </c:pt>
                <c:pt idx="3">
                  <c:v>4820</c:v>
                </c:pt>
                <c:pt idx="4">
                  <c:v>5488</c:v>
                </c:pt>
                <c:pt idx="5">
                  <c:v>8740.5</c:v>
                </c:pt>
                <c:pt idx="6">
                  <c:v>7842.4</c:v>
                </c:pt>
              </c:numCache>
            </c:numRef>
          </c:val>
        </c:ser>
        <c:dLbls>
          <c:showLegendKey val="0"/>
          <c:showVal val="1"/>
          <c:showCatName val="0"/>
          <c:showSerName val="0"/>
          <c:showPercent val="0"/>
          <c:showBubbleSize val="0"/>
        </c:dLbls>
        <c:gapWidth val="246"/>
        <c:overlap val="-28"/>
        <c:axId val="944261629"/>
        <c:axId val="310634055"/>
      </c:barChart>
      <c:lineChart>
        <c:grouping val="standard"/>
        <c:varyColors val="0"/>
        <c:ser>
          <c:idx val="1"/>
          <c:order val="1"/>
          <c:spPr>
            <a:ln w="28575" cap="rnd">
              <a:solidFill>
                <a:schemeClr val="accent2"/>
              </a:solidFill>
              <a:round/>
            </a:ln>
            <a:effectLst/>
          </c:spPr>
          <c:marker>
            <c:symbol val="none"/>
          </c:marker>
          <c:dLbls>
            <c:delete val="1"/>
          </c:dLbls>
          <c:val>
            <c:numRef>
              <c:f>[工作簿1]光伏装机容量!$B$4:$H$4</c:f>
              <c:numCache>
                <c:formatCode>General</c:formatCode>
                <c:ptCount val="7"/>
                <c:pt idx="1" c:formatCode="0%">
                  <c:v>-0.168865435356201</c:v>
                </c:pt>
                <c:pt idx="2" c:formatCode="0%">
                  <c:v>-0.317233560090703</c:v>
                </c:pt>
                <c:pt idx="3" c:formatCode="0%">
                  <c:v>0.600797077382929</c:v>
                </c:pt>
                <c:pt idx="4" c:formatCode="0%">
                  <c:v>0.138589211618257</c:v>
                </c:pt>
                <c:pt idx="5" c:formatCode="0%">
                  <c:v>0.592656705539359</c:v>
                </c:pt>
                <c:pt idx="6" c:formatCode="0%">
                  <c:v>-0.102751558835307</c:v>
                </c:pt>
              </c:numCache>
            </c:numRef>
          </c:val>
          <c:smooth val="0"/>
        </c:ser>
        <c:dLbls>
          <c:showLegendKey val="0"/>
          <c:showVal val="1"/>
          <c:showCatName val="0"/>
          <c:showSerName val="0"/>
          <c:showPercent val="0"/>
          <c:showBubbleSize val="0"/>
        </c:dLbls>
        <c:marker val="0"/>
        <c:smooth val="0"/>
        <c:axId val="586961124"/>
        <c:axId val="683050361"/>
      </c:lineChart>
      <c:catAx>
        <c:axId val="944261629"/>
        <c:scaling>
          <c:orientation val="minMax"/>
        </c:scaling>
        <c:delete val="0"/>
        <c:axPos val="b"/>
        <c:numFmt formatCode="General" sourceLinked="0"/>
        <c:majorTickMark val="none"/>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10634055"/>
        <c:crosses val="autoZero"/>
        <c:auto val="1"/>
        <c:lblAlgn val="ctr"/>
        <c:lblOffset val="100"/>
        <c:noMultiLvlLbl val="0"/>
      </c:catAx>
      <c:valAx>
        <c:axId val="310634055"/>
        <c:scaling>
          <c:orientation val="minMax"/>
        </c:scaling>
        <c:delete val="0"/>
        <c:axPos val="l"/>
        <c:numFmt formatCode="General" sourceLinked="1"/>
        <c:majorTickMark val="none"/>
        <c:minorTickMark val="none"/>
        <c:tickLblPos val="nextTo"/>
        <c:spPr>
          <a:noFill/>
          <a:ln w="9525"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44261629"/>
        <c:crosses val="autoZero"/>
        <c:crossBetween val="between"/>
      </c:valAx>
      <c:catAx>
        <c:axId val="58696112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3050361"/>
        <c:crosses val="autoZero"/>
        <c:auto val="1"/>
        <c:lblAlgn val="ctr"/>
        <c:lblOffset val="100"/>
        <c:noMultiLvlLbl val="0"/>
      </c:catAx>
      <c:valAx>
        <c:axId val="683050361"/>
        <c:scaling>
          <c:orientation val="minMax"/>
        </c:scaling>
        <c:delete val="0"/>
        <c:axPos val="r"/>
        <c:numFmt formatCode="General" sourceLinked="1"/>
        <c:majorTickMark val="none"/>
        <c:minorTickMark val="none"/>
        <c:tickLblPos val="nextTo"/>
        <c:spPr>
          <a:noFill/>
          <a:ln w="9525"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86961124"/>
        <c:crosses val="max"/>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[工作簿1]风、氢新增装机容量!$A$20:$A$26</c:f>
              <c:numCache>
                <c:formatCode>General</c:formatCode>
                <c:ptCount val="7"/>
                <c:pt idx="0">
                  <c:v>2016</c:v>
                </c:pt>
                <c:pt idx="1">
                  <c:v>2017</c:v>
                </c:pt>
                <c:pt idx="2">
                  <c:v>2018</c:v>
                </c:pt>
                <c:pt idx="3">
                  <c:v>2019</c:v>
                </c:pt>
                <c:pt idx="4">
                  <c:v>2020</c:v>
                </c:pt>
                <c:pt idx="5">
                  <c:v>2021</c:v>
                </c:pt>
                <c:pt idx="6">
                  <c:v>2022</c:v>
                </c:pt>
              </c:numCache>
            </c:numRef>
          </c:cat>
          <c:val>
            <c:numRef>
              <c:f>[工作簿1]风、氢新增装机容量!$B$20:$B$26</c:f>
              <c:numCache>
                <c:formatCode>General</c:formatCode>
                <c:ptCount val="7"/>
                <c:pt idx="0">
                  <c:v>1850</c:v>
                </c:pt>
                <c:pt idx="1">
                  <c:v>1915</c:v>
                </c:pt>
                <c:pt idx="2">
                  <c:v>2100</c:v>
                </c:pt>
                <c:pt idx="3">
                  <c:v>2200</c:v>
                </c:pt>
                <c:pt idx="4">
                  <c:v>2500</c:v>
                </c:pt>
                <c:pt idx="5">
                  <c:v>3342</c:v>
                </c:pt>
                <c:pt idx="6">
                  <c:v>4004</c:v>
                </c:pt>
              </c:numCache>
            </c:numRef>
          </c:val>
        </c:ser>
        <c:dLbls>
          <c:showLegendKey val="0"/>
          <c:showVal val="1"/>
          <c:showCatName val="0"/>
          <c:showSerName val="0"/>
          <c:showPercent val="0"/>
          <c:showBubbleSize val="0"/>
        </c:dLbls>
        <c:gapWidth val="246"/>
        <c:overlap val="-28"/>
        <c:axId val="500414952"/>
        <c:axId val="462023277"/>
      </c:barChart>
      <c:catAx>
        <c:axId val="500414952"/>
        <c:scaling>
          <c:orientation val="minMax"/>
        </c:scaling>
        <c:delete val="0"/>
        <c:axPos val="b"/>
        <c:numFmt formatCode="General" sourceLinked="0"/>
        <c:majorTickMark val="none"/>
        <c:minorTickMark val="none"/>
        <c:tickLblPos val="nextTo"/>
        <c:spPr>
          <a:noFill/>
          <a:ln w="9525" cap="flat" cmpd="sng" algn="ctr">
            <a:solidFill>
              <a:schemeClr val="tx1"/>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62023277"/>
        <c:crosses val="autoZero"/>
        <c:auto val="1"/>
        <c:lblAlgn val="ctr"/>
        <c:lblOffset val="100"/>
        <c:noMultiLvlLbl val="0"/>
      </c:catAx>
      <c:valAx>
        <c:axId val="462023277"/>
        <c:scaling>
          <c:orientation val="minMax"/>
        </c:scaling>
        <c:delete val="0"/>
        <c:axPos val="l"/>
        <c:numFmt formatCode="General" sourceLinked="1"/>
        <c:majorTickMark val="none"/>
        <c:minorTickMark val="none"/>
        <c:tickLblPos val="nextTo"/>
        <c:spPr>
          <a:noFill/>
          <a:ln w="9525" cmpd="sng">
            <a:solidFill>
              <a:schemeClr val="tx1"/>
            </a:solidFill>
            <a:prstDash val="soli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00414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5DFC-A025-417F-B883-3D297DD876BF}">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16378</Words>
  <Characters>23853</Characters>
  <Lines>2340</Lines>
  <Paragraphs>1789</Paragraphs>
  <TotalTime>103</TotalTime>
  <ScaleCrop>false</ScaleCrop>
  <LinksUpToDate>false</LinksUpToDate>
  <CharactersWithSpaces>23918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2024-05-30T10:53:00Z</dcterms:created>
  <dc:creator>hf18456522184@163.com</dc:creator>
  <cp:lastModifiedBy>刘明烨</cp:lastModifiedBy>
  <cp:lastPrinted>2024-05-17T15:17:00Z</cp:lastPrinted>
  <dcterms:modified xsi:type="dcterms:W3CDTF">2024-07-03T02:08:19Z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56562F36EA5A424F80768FEF7AA8F299_13</vt:lpwstr>
  </property>
</Properties>
</file>