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F1C6EDD"/>
    <w:rsid w:val="5FBB1438"/>
    <w:rsid w:val="61DD0A97"/>
    <w:rsid w:val="A5F22FAB"/>
    <w:rsid w:val="DA6BE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356</Characters>
  <Lines>0</Lines>
  <Paragraphs>0</Paragraphs>
  <TotalTime>37</TotalTime>
  <ScaleCrop>false</ScaleCrop>
  <LinksUpToDate>false</LinksUpToDate>
  <CharactersWithSpaces>415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2024-03-14T17:25:00Z</dcterms:created>
  <dc:creator>明月</dc:creator>
  <cp:lastModifiedBy>uos</cp:lastModifiedBy>
  <cp:lastPrinted>2026-03-25T10:31:47Z</cp:lastPrinted>
  <dcterms:modified xsi:type="dcterms:W3CDTF">2026-03-25T10:31:55Z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AE939E4C8F25090D8874FC67A028F0A6_43</vt:lpwstr>
  </property>
  <property fmtid="{D5CDD505-2E9C-101B-9397-08002B2CF9AE}" pid="4" name="KSOTemplateDocerSaveRecord">
    <vt:lpwstr>eyJoZGlkIjoiM2JhMDEyNTI5NTJkMDhlYzIxODRmOTlmZTc1NzI5NjciLCJ1c2VySWQiOiI0Mzk0MjA4NDcifQ==</vt:lpwstr>
  </property>
</Properties>
</file>