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能源销售公司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招聘岗位职责及任职条件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022"/>
        <w:gridCol w:w="635"/>
        <w:gridCol w:w="3607"/>
        <w:gridCol w:w="1071"/>
        <w:gridCol w:w="1019"/>
        <w:gridCol w:w="4157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pStyle w:val="2"/>
              <w:widowControl w:val="0"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序号</w:t>
            </w:r>
          </w:p>
        </w:tc>
        <w:tc>
          <w:tcPr>
            <w:tcW w:w="1022" w:type="dxa"/>
            <w:vAlign w:val="center"/>
          </w:tcPr>
          <w:p>
            <w:pPr>
              <w:pStyle w:val="2"/>
              <w:widowControl w:val="0"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</w:t>
            </w:r>
          </w:p>
        </w:tc>
        <w:tc>
          <w:tcPr>
            <w:tcW w:w="635" w:type="dxa"/>
            <w:vAlign w:val="center"/>
          </w:tcPr>
          <w:p>
            <w:pPr>
              <w:pStyle w:val="2"/>
              <w:widowControl w:val="0"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</w:t>
            </w:r>
          </w:p>
        </w:tc>
        <w:tc>
          <w:tcPr>
            <w:tcW w:w="3607" w:type="dxa"/>
            <w:vAlign w:val="center"/>
          </w:tcPr>
          <w:p>
            <w:pPr>
              <w:pStyle w:val="2"/>
              <w:widowControl w:val="0"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主要职责</w:t>
            </w:r>
          </w:p>
        </w:tc>
        <w:tc>
          <w:tcPr>
            <w:tcW w:w="1071" w:type="dxa"/>
            <w:vAlign w:val="center"/>
          </w:tcPr>
          <w:p>
            <w:pPr>
              <w:pStyle w:val="2"/>
              <w:widowControl w:val="0"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widowControl w:val="0"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4157" w:type="dxa"/>
            <w:vAlign w:val="center"/>
          </w:tcPr>
          <w:p>
            <w:pPr>
              <w:pStyle w:val="2"/>
              <w:widowControl w:val="0"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任职条件</w:t>
            </w:r>
          </w:p>
        </w:tc>
        <w:tc>
          <w:tcPr>
            <w:tcW w:w="1158" w:type="dxa"/>
            <w:vAlign w:val="center"/>
          </w:tcPr>
          <w:p>
            <w:pPr>
              <w:pStyle w:val="2"/>
              <w:widowControl w:val="0"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atLeast"/>
        </w:trPr>
        <w:tc>
          <w:tcPr>
            <w:tcW w:w="586" w:type="dxa"/>
            <w:vAlign w:val="center"/>
          </w:tcPr>
          <w:p>
            <w:pPr>
              <w:pStyle w:val="2"/>
              <w:widowControl w:val="0"/>
              <w:spacing w:line="3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022" w:type="dxa"/>
            <w:vAlign w:val="center"/>
          </w:tcPr>
          <w:p>
            <w:pPr>
              <w:pStyle w:val="2"/>
              <w:widowControl w:val="0"/>
              <w:spacing w:line="3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交易高级经理（主管级）</w:t>
            </w:r>
          </w:p>
        </w:tc>
        <w:tc>
          <w:tcPr>
            <w:tcW w:w="635" w:type="dxa"/>
            <w:vAlign w:val="center"/>
          </w:tcPr>
          <w:p>
            <w:pPr>
              <w:pStyle w:val="2"/>
              <w:widowControl w:val="0"/>
              <w:spacing w:line="3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3607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  <w:t>负责电力市场形势分析及电力交易对外协调等工作，统筹开展交易策略制定并组织实施，落实河南公司售电侧交易策略。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  <w:t>负责市场分析、电价预测。负责用户数据汇总与分析，交易方案制定与执行。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  <w:t>负责交易操作与监护。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  <w:t>负责代理用户参与绿证绿电交易。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  <w:t>负责交易风险管理。</w:t>
            </w:r>
          </w:p>
        </w:tc>
        <w:tc>
          <w:tcPr>
            <w:tcW w:w="1071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本科及以上</w:t>
            </w:r>
          </w:p>
        </w:tc>
        <w:tc>
          <w:tcPr>
            <w:tcW w:w="1019" w:type="dxa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4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1.电气类、自动化类、经济学类、数学类、管理科学与工程等相关专业；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具有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年以上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电力营销、大数据分析或数据量化分析等相关工作经历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有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省级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电力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交易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机构或相关管理机构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工作经历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者优先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逻辑思维清晰，具有较强的数据分析能力，沟通协调能力，组织能力、写作能力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具有优良的敬业精神，能够坚守职业操守，作风严谨，执行力强；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5.熟练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运用办公软件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及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AI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等智能工具；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6.特别优秀的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年龄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可适当放宽。</w:t>
            </w:r>
            <w:bookmarkStart w:id="0" w:name="_GoBack"/>
            <w:bookmarkEnd w:id="0"/>
          </w:p>
          <w:p>
            <w:pPr>
              <w:pStyle w:val="2"/>
              <w:widowControl w:val="0"/>
              <w:spacing w:line="240" w:lineRule="auto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158" w:type="dxa"/>
            <w:vAlign w:val="center"/>
          </w:tcPr>
          <w:p>
            <w:pPr>
              <w:pStyle w:val="2"/>
              <w:widowControl w:val="0"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tlc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pStyle w:val="7"/>
      <w:lvlText w:val="（%1）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1">
    <w:nsid w:val="00000003"/>
    <w:multiLevelType w:val="multilevel"/>
    <w:tmpl w:val="00000003"/>
    <w:lvl w:ilvl="0" w:tentative="0">
      <w:start w:val="1"/>
      <w:numFmt w:val="decimal"/>
      <w:lvlText w:val="（%1）"/>
      <w:lvlJc w:val="left"/>
      <w:pPr>
        <w:ind w:left="1554" w:hanging="420"/>
      </w:pPr>
      <w:rPr>
        <w:rFonts w:hint="eastAsia"/>
      </w:rPr>
    </w:lvl>
    <w:lvl w:ilvl="1" w:tentative="0">
      <w:start w:val="1"/>
      <w:numFmt w:val="lowerLetter"/>
      <w:pStyle w:val="6"/>
      <w:lvlText w:val="%2)"/>
      <w:lvlJc w:val="left"/>
      <w:pPr>
        <w:ind w:left="2121" w:hanging="420"/>
      </w:pPr>
    </w:lvl>
    <w:lvl w:ilvl="2" w:tentative="0">
      <w:start w:val="1"/>
      <w:numFmt w:val="lowerRoman"/>
      <w:lvlText w:val="%3."/>
      <w:lvlJc w:val="right"/>
      <w:pPr>
        <w:ind w:left="2394" w:hanging="420"/>
      </w:pPr>
    </w:lvl>
    <w:lvl w:ilvl="3" w:tentative="0">
      <w:start w:val="1"/>
      <w:numFmt w:val="decimal"/>
      <w:lvlText w:val="%4."/>
      <w:lvlJc w:val="left"/>
      <w:pPr>
        <w:ind w:left="2814" w:hanging="420"/>
      </w:pPr>
    </w:lvl>
    <w:lvl w:ilvl="4" w:tentative="0">
      <w:start w:val="1"/>
      <w:numFmt w:val="lowerLetter"/>
      <w:lvlText w:val="%5)"/>
      <w:lvlJc w:val="left"/>
      <w:pPr>
        <w:ind w:left="3234" w:hanging="420"/>
      </w:pPr>
    </w:lvl>
    <w:lvl w:ilvl="5" w:tentative="0">
      <w:start w:val="1"/>
      <w:numFmt w:val="lowerRoman"/>
      <w:lvlText w:val="%6."/>
      <w:lvlJc w:val="right"/>
      <w:pPr>
        <w:ind w:left="3654" w:hanging="420"/>
      </w:pPr>
    </w:lvl>
    <w:lvl w:ilvl="6" w:tentative="0">
      <w:start w:val="1"/>
      <w:numFmt w:val="decimal"/>
      <w:lvlText w:val="%7."/>
      <w:lvlJc w:val="left"/>
      <w:pPr>
        <w:ind w:left="4074" w:hanging="420"/>
      </w:pPr>
    </w:lvl>
    <w:lvl w:ilvl="7" w:tentative="0">
      <w:start w:val="1"/>
      <w:numFmt w:val="lowerLetter"/>
      <w:lvlText w:val="%8)"/>
      <w:lvlJc w:val="left"/>
      <w:pPr>
        <w:ind w:left="4494" w:hanging="420"/>
      </w:pPr>
    </w:lvl>
    <w:lvl w:ilvl="8" w:tentative="0">
      <w:start w:val="1"/>
      <w:numFmt w:val="lowerRoman"/>
      <w:lvlText w:val="%9."/>
      <w:lvlJc w:val="right"/>
      <w:pPr>
        <w:ind w:left="491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6640A"/>
    <w:rsid w:val="06F2101B"/>
    <w:rsid w:val="0E3C466D"/>
    <w:rsid w:val="1BE93C20"/>
    <w:rsid w:val="1E945870"/>
    <w:rsid w:val="21666C92"/>
    <w:rsid w:val="309C670A"/>
    <w:rsid w:val="51521BC1"/>
    <w:rsid w:val="5516640A"/>
    <w:rsid w:val="5559103A"/>
    <w:rsid w:val="62C053BC"/>
    <w:rsid w:val="64EE6306"/>
    <w:rsid w:val="7323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4"/>
    <w:basedOn w:val="1"/>
    <w:next w:val="1"/>
    <w:qFormat/>
    <w:uiPriority w:val="0"/>
    <w:pPr>
      <w:ind w:left="72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引言二级条标题"/>
    <w:basedOn w:val="7"/>
    <w:next w:val="8"/>
    <w:qFormat/>
    <w:uiPriority w:val="0"/>
    <w:pPr>
      <w:numPr>
        <w:ilvl w:val="1"/>
        <w:numId w:val="1"/>
      </w:numPr>
      <w:tabs>
        <w:tab w:val="left" w:pos="360"/>
        <w:tab w:val="left" w:pos="1200"/>
      </w:tabs>
    </w:pPr>
    <w:rPr>
      <w:rFonts w:eastAsia="宋体"/>
      <w:b w:val="0"/>
    </w:rPr>
  </w:style>
  <w:style w:type="paragraph" w:customStyle="1" w:styleId="7">
    <w:name w:val="引言一级条标题"/>
    <w:basedOn w:val="1"/>
    <w:next w:val="8"/>
    <w:qFormat/>
    <w:uiPriority w:val="0"/>
    <w:pPr>
      <w:widowControl/>
      <w:numPr>
        <w:ilvl w:val="0"/>
        <w:numId w:val="2"/>
      </w:numPr>
    </w:pPr>
    <w:rPr>
      <w:rFonts w:eastAsia="黑体"/>
      <w:b/>
    </w:rPr>
  </w:style>
  <w:style w:type="paragraph" w:customStyle="1" w:styleId="8">
    <w:name w:val="段"/>
    <w:qFormat/>
    <w:uiPriority w:val="0"/>
    <w:pPr>
      <w:ind w:left="840"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2026-07-02T04:46:00Z</dcterms:created>
  <dc:creator>金梦</dc:creator>
  <cp:lastModifiedBy>金梦</cp:lastModifiedBy>
  <dcterms:modified xsi:type="dcterms:W3CDTF">2026-07-02T04:53:51Z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1682A11BFEBA4BCCB4638693B199816D</vt:lpwstr>
  </property>
</Properties>
</file>