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textAlignment w:val="auto"/>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附件2</w:t>
      </w:r>
    </w:p>
    <w:p>
      <w:pPr>
        <w:keepNext w:val="0"/>
        <w:keepLines w:val="0"/>
        <w:pageBreakBefore w:val="0"/>
        <w:widowControl w:val="0"/>
        <w:kinsoku/>
        <w:wordWrap/>
        <w:overflowPunct/>
        <w:topLinePunct w:val="0"/>
        <w:bidi w:val="0"/>
        <w:spacing w:line="600" w:lineRule="exact"/>
        <w:jc w:val="center"/>
        <w:textAlignment w:val="auto"/>
        <w:rPr>
          <w:rFonts w:eastAsia="黑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bidi w:val="0"/>
        <w:spacing w:line="600" w:lineRule="exact"/>
        <w:jc w:val="center"/>
        <w:textAlignment w:val="auto"/>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聊城市</w:t>
      </w:r>
      <w:r>
        <w:rPr>
          <w:rFonts w:hint="eastAsia" w:eastAsia="方正小标宋简体"/>
          <w:color w:val="000000" w:themeColor="text1"/>
          <w:sz w:val="44"/>
          <w:szCs w:val="44"/>
          <w14:textFill>
            <w14:solidFill>
              <w14:schemeClr w14:val="tx1"/>
            </w14:solidFill>
          </w14:textFill>
        </w:rPr>
        <w:t>疾病预防控制中心</w:t>
      </w:r>
    </w:p>
    <w:p>
      <w:pPr>
        <w:keepNext w:val="0"/>
        <w:keepLines w:val="0"/>
        <w:pageBreakBefore w:val="0"/>
        <w:widowControl w:val="0"/>
        <w:kinsoku/>
        <w:wordWrap/>
        <w:overflowPunct/>
        <w:topLinePunct w:val="0"/>
        <w:bidi w:val="0"/>
        <w:spacing w:line="600" w:lineRule="exact"/>
        <w:jc w:val="center"/>
        <w:textAlignment w:val="auto"/>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202</w:t>
      </w:r>
      <w:r>
        <w:rPr>
          <w:rFonts w:hint="eastAsia" w:eastAsia="方正小标宋简体"/>
          <w:color w:val="000000" w:themeColor="text1"/>
          <w:sz w:val="44"/>
          <w:szCs w:val="44"/>
          <w:lang w:val="en-US" w:eastAsia="zh-CN"/>
          <w14:textFill>
            <w14:solidFill>
              <w14:schemeClr w14:val="tx1"/>
            </w14:solidFill>
          </w14:textFill>
        </w:rPr>
        <w:t>6</w:t>
      </w:r>
      <w:r>
        <w:rPr>
          <w:rFonts w:hint="eastAsia" w:eastAsia="方正小标宋简体"/>
          <w:color w:val="000000" w:themeColor="text1"/>
          <w:sz w:val="44"/>
          <w:szCs w:val="44"/>
          <w14:textFill>
            <w14:solidFill>
              <w14:schemeClr w14:val="tx1"/>
            </w14:solidFill>
          </w14:textFill>
        </w:rPr>
        <w:t>年</w:t>
      </w:r>
      <w:r>
        <w:rPr>
          <w:rFonts w:eastAsia="方正小标宋简体"/>
          <w:color w:val="000000" w:themeColor="text1"/>
          <w:sz w:val="44"/>
          <w:szCs w:val="44"/>
          <w14:textFill>
            <w14:solidFill>
              <w14:schemeClr w14:val="tx1"/>
            </w14:solidFill>
          </w14:textFill>
        </w:rPr>
        <w:t>公开招聘工作人员应聘须知</w:t>
      </w:r>
    </w:p>
    <w:p>
      <w:pPr>
        <w:keepNext w:val="0"/>
        <w:keepLines w:val="0"/>
        <w:pageBreakBefore w:val="0"/>
        <w:widowControl w:val="0"/>
        <w:kinsoku/>
        <w:wordWrap/>
        <w:overflowPunct/>
        <w:topLinePunct w:val="0"/>
        <w:bidi w:val="0"/>
        <w:snapToGrid w:val="0"/>
        <w:spacing w:line="600" w:lineRule="exact"/>
        <w:ind w:firstLine="612" w:firstLineChars="196"/>
        <w:textAlignment w:val="auto"/>
        <w:rPr>
          <w:rFonts w:ascii="Calibri" w:hAnsi="Calibri" w:eastAsia="楷体_GB2312" w:cs="Times New Roman"/>
          <w:b/>
          <w:color w:val="000000" w:themeColor="text1"/>
          <w:szCs w:val="32"/>
          <w14:textFill>
            <w14:solidFill>
              <w14:schemeClr w14:val="tx1"/>
            </w14:solidFill>
          </w14:textFill>
        </w:rPr>
      </w:pPr>
      <w:r>
        <w:rPr>
          <w:b/>
          <w:color w:val="000000" w:themeColor="text1"/>
          <w:szCs w:val="32"/>
          <w14:textFill>
            <w14:solidFill>
              <w14:schemeClr w14:val="tx1"/>
            </w14:solidFill>
          </w14:textFill>
        </w:rPr>
        <w:t xml:space="preserve">   </w:t>
      </w:r>
    </w:p>
    <w:p>
      <w:pPr>
        <w:keepNext w:val="0"/>
        <w:keepLines w:val="0"/>
        <w:pageBreakBefore w:val="0"/>
        <w:widowControl w:val="0"/>
        <w:kinsoku/>
        <w:wordWrap/>
        <w:overflowPunct/>
        <w:topLinePunct w:val="0"/>
        <w:bidi w:val="0"/>
        <w:spacing w:line="600" w:lineRule="exact"/>
        <w:ind w:firstLine="624" w:firstLineChars="200"/>
        <w:textAlignment w:val="auto"/>
        <w:rPr>
          <w:rFonts w:ascii="Times New Roman" w:hAnsi="Times New Roman" w:eastAsia="楷体_GB2312" w:cs="Times New Roman"/>
          <w:b/>
          <w:bCs/>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14:textFill>
            <w14:solidFill>
              <w14:schemeClr w14:val="tx1"/>
            </w14:solidFill>
          </w14:textFill>
        </w:rPr>
        <w:t>1、</w:t>
      </w:r>
      <w:r>
        <w:rPr>
          <w:rFonts w:ascii="Times New Roman" w:hAnsi="Times New Roman" w:eastAsia="楷体_GB2312" w:cs="Times New Roman"/>
          <w:b/>
          <w:bCs/>
          <w:color w:val="000000" w:themeColor="text1"/>
          <w:szCs w:val="32"/>
          <w14:textFill>
            <w14:solidFill>
              <w14:schemeClr w14:val="tx1"/>
            </w14:solidFill>
          </w14:textFill>
        </w:rPr>
        <w:t>非普通高等学历教育的其他教育形式的毕业生是否可以应聘？</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pacing w:line="600" w:lineRule="exact"/>
        <w:ind w:firstLine="624" w:firstLineChars="200"/>
        <w:textAlignment w:val="auto"/>
        <w:rPr>
          <w:rFonts w:ascii="Times New Roman" w:hAnsi="Times New Roman" w:eastAsia="仿宋" w:cs="Times New Roman"/>
          <w:color w:val="000000" w:themeColor="text1"/>
          <w:szCs w:val="32"/>
          <w14:textFill>
            <w14:solidFill>
              <w14:schemeClr w14:val="tx1"/>
            </w14:solidFill>
          </w14:textFill>
        </w:rPr>
      </w:pPr>
      <w:r>
        <w:rPr>
          <w:rFonts w:hint="eastAsia" w:ascii="Calibri" w:hAnsi="Calibri" w:eastAsia="楷体_GB2312" w:cs="Times New Roman"/>
          <w:b/>
          <w:bCs/>
          <w:color w:val="000000" w:themeColor="text1"/>
          <w:szCs w:val="32"/>
          <w14:textFill>
            <w14:solidFill>
              <w14:schemeClr w14:val="tx1"/>
            </w14:solidFill>
          </w14:textFill>
        </w:rPr>
        <w:t>2</w:t>
      </w:r>
      <w:r>
        <w:rPr>
          <w:rFonts w:hint="eastAsia" w:eastAsia="楷体_GB2312" w:cs="Times New Roman"/>
          <w:b/>
          <w:bCs/>
          <w:color w:val="000000" w:themeColor="text1"/>
          <w:szCs w:val="32"/>
          <w14:textFill>
            <w14:solidFill>
              <w14:schemeClr w14:val="tx1"/>
            </w14:solidFill>
          </w14:textFill>
        </w:rPr>
        <w:t>、</w:t>
      </w:r>
      <w:r>
        <w:rPr>
          <w:rFonts w:ascii="Times New Roman" w:hAnsi="Times New Roman" w:eastAsia="楷体_GB2312" w:cs="Times New Roman"/>
          <w:b/>
          <w:bCs/>
          <w:color w:val="000000" w:themeColor="text1"/>
          <w:szCs w:val="32"/>
          <w14:textFill>
            <w14:solidFill>
              <w14:schemeClr w14:val="tx1"/>
            </w14:solidFill>
          </w14:textFill>
        </w:rPr>
        <w:t>如何理解“在读的非应届毕业生”不得应聘？</w:t>
      </w:r>
    </w:p>
    <w:p>
      <w:pPr>
        <w:keepNext w:val="0"/>
        <w:keepLines w:val="0"/>
        <w:pageBreakBefore w:val="0"/>
        <w:widowControl w:val="0"/>
        <w:kinsoku/>
        <w:wordWrap/>
        <w:overflowPunct/>
        <w:topLinePunct w:val="0"/>
        <w:bidi w:val="0"/>
        <w:spacing w:line="600" w:lineRule="exact"/>
        <w:ind w:firstLine="468" w:firstLineChars="150"/>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“在读的非应届毕业生”，是指</w:t>
      </w:r>
      <w:r>
        <w:rPr>
          <w:rFonts w:hint="eastAsia" w:ascii="仿宋_GB2312" w:hAnsi="仿宋_GB2312" w:cs="仿宋_GB2312"/>
          <w:color w:val="000000" w:themeColor="text1"/>
          <w:szCs w:val="32"/>
          <w14:textFill>
            <w14:solidFill>
              <w14:schemeClr w14:val="tx1"/>
            </w14:solidFill>
          </w14:textFill>
        </w:rPr>
        <w:t>全脱产在校学习</w:t>
      </w:r>
      <w:r>
        <w:rPr>
          <w:rFonts w:ascii="仿宋_GB2312" w:hAnsi="仿宋_GB2312" w:cs="仿宋_GB2312"/>
          <w:color w:val="000000" w:themeColor="text1"/>
          <w:szCs w:val="32"/>
          <w14:textFill>
            <w14:solidFill>
              <w14:schemeClr w14:val="tx1"/>
            </w14:solidFill>
          </w14:textFill>
        </w:rPr>
        <w:t>的国内普通高等学历教育学生和国（境）外留学</w:t>
      </w:r>
      <w:r>
        <w:rPr>
          <w:rFonts w:hint="eastAsia" w:ascii="仿宋_GB2312" w:hAnsi="仿宋_GB2312" w:cs="仿宋_GB2312"/>
          <w:color w:val="000000" w:themeColor="text1"/>
          <w:szCs w:val="32"/>
          <w14:textFill>
            <w14:solidFill>
              <w14:schemeClr w14:val="tx1"/>
            </w14:solidFill>
          </w14:textFill>
        </w:rPr>
        <w:t>回国</w:t>
      </w:r>
      <w:r>
        <w:rPr>
          <w:rFonts w:ascii="仿宋_GB2312" w:hAnsi="仿宋_GB2312" w:cs="仿宋_GB2312"/>
          <w:color w:val="000000" w:themeColor="text1"/>
          <w:szCs w:val="32"/>
          <w14:textFill>
            <w14:solidFill>
              <w14:schemeClr w14:val="tx1"/>
            </w14:solidFill>
          </w14:textFill>
        </w:rPr>
        <w:t>人员</w:t>
      </w:r>
      <w:r>
        <w:rPr>
          <w:rFonts w:hint="eastAsia" w:ascii="仿宋_GB2312" w:hAnsi="仿宋_GB2312" w:cs="仿宋_GB2312"/>
          <w:color w:val="000000" w:themeColor="text1"/>
          <w:szCs w:val="32"/>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于</w:t>
      </w:r>
      <w:r>
        <w:rPr>
          <w:rFonts w:ascii="仿宋_GB2312" w:hAnsi="仿宋_GB2312" w:cs="仿宋_GB2312"/>
          <w:color w:val="000000" w:themeColor="text1"/>
          <w:szCs w:val="32"/>
          <w:highlight w:val="none"/>
          <w14:textFill>
            <w14:solidFill>
              <w14:schemeClr w14:val="tx1"/>
            </w14:solidFill>
          </w14:textFill>
        </w:rPr>
        <w:t>202</w:t>
      </w:r>
      <w:r>
        <w:rPr>
          <w:rFonts w:hint="eastAsia" w:ascii="仿宋_GB2312" w:hAnsi="仿宋_GB2312" w:cs="仿宋_GB2312"/>
          <w:color w:val="000000" w:themeColor="text1"/>
          <w:szCs w:val="32"/>
          <w:highlight w:val="none"/>
          <w:lang w:val="en-US" w:eastAsia="zh-CN"/>
          <w14:textFill>
            <w14:solidFill>
              <w14:schemeClr w14:val="tx1"/>
            </w14:solidFill>
          </w14:textFill>
        </w:rPr>
        <w:t>6</w:t>
      </w:r>
      <w:r>
        <w:rPr>
          <w:rFonts w:ascii="仿宋_GB2312" w:hAnsi="仿宋_GB2312" w:cs="仿宋_GB2312"/>
          <w:color w:val="000000" w:themeColor="text1"/>
          <w:szCs w:val="32"/>
          <w:highlight w:val="none"/>
          <w14:textFill>
            <w14:solidFill>
              <w14:schemeClr w14:val="tx1"/>
            </w14:solidFill>
          </w14:textFill>
        </w:rPr>
        <w:t>年</w:t>
      </w:r>
      <w:r>
        <w:rPr>
          <w:rFonts w:hint="eastAsia" w:ascii="仿宋_GB2312" w:hAnsi="仿宋_GB2312" w:cs="仿宋_GB2312"/>
          <w:color w:val="000000" w:themeColor="text1"/>
          <w:szCs w:val="32"/>
          <w:highlight w:val="none"/>
          <w:lang w:val="en-US" w:eastAsia="zh-CN"/>
          <w14:textFill>
            <w14:solidFill>
              <w14:schemeClr w14:val="tx1"/>
            </w14:solidFill>
          </w14:textFill>
        </w:rPr>
        <w:t>7</w:t>
      </w:r>
      <w:r>
        <w:rPr>
          <w:rFonts w:ascii="仿宋_GB2312" w:hAnsi="仿宋_GB2312" w:cs="仿宋_GB2312"/>
          <w:color w:val="000000" w:themeColor="text1"/>
          <w:szCs w:val="32"/>
          <w:highlight w:val="none"/>
          <w14:textFill>
            <w14:solidFill>
              <w14:schemeClr w14:val="tx1"/>
            </w14:solidFill>
          </w14:textFill>
        </w:rPr>
        <w:t>月</w:t>
      </w:r>
      <w:r>
        <w:rPr>
          <w:rFonts w:hint="eastAsia" w:ascii="仿宋_GB2312" w:hAnsi="仿宋_GB2312" w:cs="仿宋_GB2312"/>
          <w:color w:val="000000" w:themeColor="text1"/>
          <w:szCs w:val="32"/>
          <w:highlight w:val="none"/>
          <w:lang w:val="en-US" w:eastAsia="zh-CN"/>
          <w14:textFill>
            <w14:solidFill>
              <w14:schemeClr w14:val="tx1"/>
            </w14:solidFill>
          </w14:textFill>
        </w:rPr>
        <w:t>8日</w:t>
      </w:r>
      <w:r>
        <w:rPr>
          <w:rFonts w:ascii="仿宋_GB2312" w:hAnsi="仿宋_GB2312" w:cs="仿宋_GB2312"/>
          <w:color w:val="000000" w:themeColor="text1"/>
          <w:szCs w:val="32"/>
          <w14:textFill>
            <w14:solidFill>
              <w14:schemeClr w14:val="tx1"/>
            </w14:solidFill>
          </w14:textFill>
        </w:rPr>
        <w:t>前无法完成学业并取得学历（学位）证书的，不得应聘。</w:t>
      </w:r>
    </w:p>
    <w:p>
      <w:pPr>
        <w:keepNext w:val="0"/>
        <w:keepLines w:val="0"/>
        <w:pageBreakBefore w:val="0"/>
        <w:widowControl w:val="0"/>
        <w:kinsoku/>
        <w:wordWrap/>
        <w:overflowPunct/>
        <w:topLinePunct w:val="0"/>
        <w:bidi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14:textFill>
            <w14:solidFill>
              <w14:schemeClr w14:val="tx1"/>
            </w14:solidFill>
          </w14:textFill>
        </w:rPr>
        <w:t>3、</w:t>
      </w:r>
      <w:r>
        <w:rPr>
          <w:rFonts w:ascii="Times New Roman" w:hAnsi="Times New Roman" w:eastAsia="楷体_GB2312" w:cs="Times New Roman"/>
          <w:b/>
          <w:bCs/>
          <w:color w:val="000000" w:themeColor="text1"/>
          <w:szCs w:val="32"/>
          <w14:textFill>
            <w14:solidFill>
              <w14:schemeClr w14:val="tx1"/>
            </w14:solidFill>
          </w14:textFill>
        </w:rPr>
        <w:t>留学回国人员可以应聘哪些岗位，需提供哪些材料？</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留学回国人员可以根据自身情况应聘符合条件的岗位。</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留学回国人员应聘的，除需提供《简章》中规定的相关材料外，还要提供国家教育部门的学历学位认证</w:t>
      </w:r>
      <w:r>
        <w:rPr>
          <w:rFonts w:hint="eastAsia" w:ascii="仿宋_GB2312" w:hAnsi="仿宋_GB2312" w:cs="仿宋_GB2312"/>
          <w:color w:val="000000" w:themeColor="text1"/>
          <w:szCs w:val="32"/>
          <w14:textFill>
            <w14:solidFill>
              <w14:schemeClr w14:val="tx1"/>
            </w14:solidFill>
          </w14:textFill>
        </w:rPr>
        <w:t>材料</w:t>
      </w:r>
      <w:r>
        <w:rPr>
          <w:rFonts w:ascii="仿宋_GB2312" w:hAnsi="仿宋_GB2312" w:cs="仿宋_GB2312"/>
          <w:color w:val="000000" w:themeColor="text1"/>
          <w:szCs w:val="32"/>
          <w14:textFill>
            <w14:solidFill>
              <w14:schemeClr w14:val="tx1"/>
            </w14:solidFill>
          </w14:textFill>
        </w:rPr>
        <w:t>。应聘人员可登录教育部留学服务中心网站（http://www.cscse.edu.cn）查询认证的有关要求和程序。</w:t>
      </w:r>
      <w:bookmarkStart w:id="0" w:name="_GoBack"/>
      <w:bookmarkEnd w:id="0"/>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eastAsia="楷体_GB2312"/>
          <w:b/>
          <w:color w:val="000000" w:themeColor="text1"/>
          <w:szCs w:val="32"/>
          <w14:textFill>
            <w14:solidFill>
              <w14:schemeClr w14:val="tx1"/>
            </w14:solidFill>
          </w14:textFill>
        </w:rPr>
      </w:pPr>
      <w:r>
        <w:rPr>
          <w:rFonts w:hint="eastAsia"/>
          <w:b/>
          <w:color w:val="000000" w:themeColor="text1"/>
          <w:szCs w:val="32"/>
          <w14:textFill>
            <w14:solidFill>
              <w14:schemeClr w14:val="tx1"/>
            </w14:solidFill>
          </w14:textFill>
        </w:rPr>
        <w:t>4</w:t>
      </w:r>
      <w:r>
        <w:rPr>
          <w:b/>
          <w:color w:val="000000" w:themeColor="text1"/>
          <w:szCs w:val="32"/>
          <w14:textFill>
            <w14:solidFill>
              <w14:schemeClr w14:val="tx1"/>
            </w14:solidFill>
          </w14:textFill>
        </w:rPr>
        <w:t>、</w:t>
      </w:r>
      <w:r>
        <w:rPr>
          <w:rFonts w:eastAsia="楷体_GB2312"/>
          <w:b/>
          <w:color w:val="000000" w:themeColor="text1"/>
          <w:szCs w:val="32"/>
          <w14:textFill>
            <w14:solidFill>
              <w14:schemeClr w14:val="tx1"/>
            </w14:solidFill>
          </w14:textFill>
        </w:rPr>
        <w:t>对学历学位及相关证书取得时间有什么要求？</w:t>
      </w:r>
    </w:p>
    <w:p>
      <w:pPr>
        <w:keepNext w:val="0"/>
        <w:keepLines w:val="0"/>
        <w:pageBreakBefore w:val="0"/>
        <w:widowControl w:val="0"/>
        <w:kinsoku/>
        <w:wordWrap/>
        <w:overflowPunct/>
        <w:topLinePunct w:val="0"/>
        <w:bidi w:val="0"/>
        <w:spacing w:line="600" w:lineRule="exact"/>
        <w:ind w:firstLine="468" w:firstLineChars="150"/>
        <w:textAlignment w:val="auto"/>
        <w:rPr>
          <w:rFonts w:hint="eastAsia" w:ascii="仿宋_GB2312" w:hAnsi="仿宋_GB2312" w:cs="仿宋_GB2312"/>
          <w:color w:val="000000" w:themeColor="text1"/>
          <w:szCs w:val="32"/>
          <w14:textFill>
            <w14:solidFill>
              <w14:schemeClr w14:val="tx1"/>
            </w14:solidFill>
          </w14:textFill>
        </w:rPr>
        <w:sectPr>
          <w:footerReference r:id="rId3" w:type="default"/>
          <w:footerReference r:id="rId4" w:type="even"/>
          <w:pgSz w:w="11906" w:h="16838"/>
          <w:pgMar w:top="2098" w:right="1588" w:bottom="1588" w:left="1588" w:header="851" w:footer="992" w:gutter="0"/>
          <w:pgNumType w:fmt="decimal" w:start="1"/>
          <w:cols w:space="425" w:num="1"/>
          <w:docGrid w:type="linesAndChars" w:linePitch="597" w:charSpace="-1683"/>
        </w:sectPr>
      </w:pPr>
    </w:p>
    <w:p>
      <w:pPr>
        <w:keepNext w:val="0"/>
        <w:keepLines w:val="0"/>
        <w:pageBreakBefore w:val="0"/>
        <w:widowControl w:val="0"/>
        <w:kinsoku/>
        <w:wordWrap/>
        <w:overflowPunct/>
        <w:topLinePunct w:val="0"/>
        <w:bidi w:val="0"/>
        <w:spacing w:line="600" w:lineRule="exact"/>
        <w:ind w:firstLine="468" w:firstLineChars="150"/>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202</w:t>
      </w:r>
      <w:r>
        <w:rPr>
          <w:rFonts w:hint="eastAsia" w:ascii="仿宋_GB2312" w:hAnsi="仿宋_GB2312" w:cs="仿宋_GB2312"/>
          <w:color w:val="000000" w:themeColor="text1"/>
          <w:szCs w:val="32"/>
          <w:lang w:val="en-US" w:eastAsia="zh-CN"/>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年应届毕业生的学历、学位及相关证书，须在202</w:t>
      </w:r>
      <w:r>
        <w:rPr>
          <w:rFonts w:hint="eastAsia" w:ascii="仿宋_GB2312" w:hAnsi="仿宋_GB2312" w:cs="仿宋_GB2312"/>
          <w:color w:val="000000" w:themeColor="text1"/>
          <w:szCs w:val="32"/>
          <w:lang w:val="en-US" w:eastAsia="zh-CN"/>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年7月31日前取得；其他人员应聘的，须在</w:t>
      </w:r>
      <w:r>
        <w:rPr>
          <w:rFonts w:hint="eastAsia" w:ascii="仿宋_GB2312" w:hAnsi="仿宋_GB2312" w:cs="仿宋_GB2312"/>
          <w:color w:val="000000" w:themeColor="text1"/>
          <w:szCs w:val="32"/>
          <w:highlight w:val="none"/>
          <w14:textFill>
            <w14:solidFill>
              <w14:schemeClr w14:val="tx1"/>
            </w14:solidFill>
          </w14:textFill>
        </w:rPr>
        <w:t>202</w:t>
      </w:r>
      <w:r>
        <w:rPr>
          <w:rFonts w:hint="eastAsia" w:ascii="仿宋_GB2312" w:hAnsi="仿宋_GB2312" w:cs="仿宋_GB2312"/>
          <w:color w:val="000000" w:themeColor="text1"/>
          <w:szCs w:val="32"/>
          <w:highlight w:val="none"/>
          <w:lang w:val="en-US" w:eastAsia="zh-CN"/>
          <w14:textFill>
            <w14:solidFill>
              <w14:schemeClr w14:val="tx1"/>
            </w14:solidFill>
          </w14:textFill>
        </w:rPr>
        <w:t>6</w:t>
      </w:r>
      <w:r>
        <w:rPr>
          <w:rFonts w:hint="eastAsia" w:ascii="仿宋_GB2312" w:hAnsi="仿宋_GB2312" w:cs="仿宋_GB2312"/>
          <w:color w:val="000000" w:themeColor="text1"/>
          <w:szCs w:val="32"/>
          <w:highlight w:val="none"/>
          <w14:textFill>
            <w14:solidFill>
              <w14:schemeClr w14:val="tx1"/>
            </w14:solidFill>
          </w14:textFill>
        </w:rPr>
        <w:t>年</w:t>
      </w:r>
      <w:r>
        <w:rPr>
          <w:rFonts w:hint="eastAsia" w:ascii="仿宋_GB2312" w:hAnsi="仿宋_GB2312" w:cs="仿宋_GB2312"/>
          <w:color w:val="000000" w:themeColor="text1"/>
          <w:szCs w:val="32"/>
          <w:highlight w:val="none"/>
          <w:lang w:val="en-US" w:eastAsia="zh-CN"/>
          <w14:textFill>
            <w14:solidFill>
              <w14:schemeClr w14:val="tx1"/>
            </w14:solidFill>
          </w14:textFill>
        </w:rPr>
        <w:t>7</w:t>
      </w:r>
      <w:r>
        <w:rPr>
          <w:rFonts w:hint="eastAsia" w:ascii="仿宋_GB2312" w:hAnsi="仿宋_GB2312" w:cs="仿宋_GB2312"/>
          <w:color w:val="000000" w:themeColor="text1"/>
          <w:szCs w:val="32"/>
          <w:highlight w:val="none"/>
          <w14:textFill>
            <w14:solidFill>
              <w14:schemeClr w14:val="tx1"/>
            </w14:solidFill>
          </w14:textFill>
        </w:rPr>
        <w:t>月</w:t>
      </w:r>
      <w:r>
        <w:rPr>
          <w:rFonts w:hint="eastAsia" w:ascii="仿宋_GB2312" w:hAnsi="仿宋_GB2312" w:cs="仿宋_GB2312"/>
          <w:color w:val="000000" w:themeColor="text1"/>
          <w:szCs w:val="32"/>
          <w:highlight w:val="none"/>
          <w:lang w:val="en-US" w:eastAsia="zh-CN"/>
          <w14:textFill>
            <w14:solidFill>
              <w14:schemeClr w14:val="tx1"/>
            </w14:solidFill>
          </w14:textFill>
        </w:rPr>
        <w:t>8日</w:t>
      </w:r>
      <w:r>
        <w:rPr>
          <w:rFonts w:hint="eastAsia" w:ascii="仿宋_GB2312" w:hAnsi="仿宋_GB2312" w:cs="仿宋_GB2312"/>
          <w:color w:val="000000" w:themeColor="text1"/>
          <w:szCs w:val="32"/>
          <w14:textFill>
            <w14:solidFill>
              <w14:schemeClr w14:val="tx1"/>
            </w14:solidFill>
          </w14:textFill>
        </w:rPr>
        <w:t>前取得国家承认的学历、学位及相关证书。</w:t>
      </w:r>
    </w:p>
    <w:p>
      <w:pPr>
        <w:keepNext w:val="0"/>
        <w:keepLines w:val="0"/>
        <w:pageBreakBefore w:val="0"/>
        <w:widowControl w:val="0"/>
        <w:kinsoku/>
        <w:wordWrap/>
        <w:overflowPunct/>
        <w:topLinePunct w:val="0"/>
        <w:bidi w:val="0"/>
        <w:spacing w:line="600" w:lineRule="exact"/>
        <w:ind w:firstLine="624" w:firstLineChars="200"/>
        <w:textAlignment w:val="auto"/>
        <w:rPr>
          <w:rFonts w:eastAsia="仿宋"/>
          <w:strike/>
          <w:color w:val="000000" w:themeColor="text1"/>
          <w:szCs w:val="32"/>
          <w14:textFill>
            <w14:solidFill>
              <w14:schemeClr w14:val="tx1"/>
            </w14:solidFill>
          </w14:textFill>
        </w:rPr>
      </w:pPr>
      <w:r>
        <w:rPr>
          <w:rFonts w:hint="eastAsia" w:eastAsia="楷体_GB2312"/>
          <w:b/>
          <w:color w:val="000000" w:themeColor="text1"/>
          <w:szCs w:val="32"/>
          <w:lang w:val="en-US" w:eastAsia="zh-CN"/>
          <w14:textFill>
            <w14:solidFill>
              <w14:schemeClr w14:val="tx1"/>
            </w14:solidFill>
          </w14:textFill>
        </w:rPr>
        <w:t>5</w:t>
      </w:r>
      <w:r>
        <w:rPr>
          <w:rFonts w:eastAsia="楷体_GB2312"/>
          <w:b/>
          <w:color w:val="000000" w:themeColor="text1"/>
          <w:szCs w:val="32"/>
          <w14:textFill>
            <w14:solidFill>
              <w14:schemeClr w14:val="tx1"/>
            </w14:solidFill>
          </w14:textFill>
        </w:rPr>
        <w:t>、</w:t>
      </w:r>
      <w:r>
        <w:rPr>
          <w:rFonts w:eastAsia="楷体_GB2312"/>
          <w:b/>
          <w:bCs/>
          <w:color w:val="000000" w:themeColor="text1"/>
          <w:szCs w:val="32"/>
          <w14:textFill>
            <w14:solidFill>
              <w14:schemeClr w14:val="tx1"/>
            </w14:solidFill>
          </w14:textFill>
        </w:rPr>
        <w:t>岗位汇总表中所要求的专业如何理解？</w:t>
      </w:r>
    </w:p>
    <w:p>
      <w:pPr>
        <w:keepNext w:val="0"/>
        <w:keepLines w:val="0"/>
        <w:pageBreakBefore w:val="0"/>
        <w:widowControl w:val="0"/>
        <w:kinsoku/>
        <w:wordWrap/>
        <w:overflowPunct/>
        <w:topLinePunct w:val="0"/>
        <w:bidi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Calibri" w:hAnsi="Calibri" w:cs="Times New Roman"/>
          <w:color w:val="000000" w:themeColor="text1"/>
          <w:szCs w:val="32"/>
          <w14:textFill>
            <w14:solidFill>
              <w14:schemeClr w14:val="tx1"/>
            </w14:solidFill>
          </w14:textFill>
        </w:rPr>
        <w:t>招聘岗位</w:t>
      </w:r>
      <w:r>
        <w:rPr>
          <w:rStyle w:val="8"/>
          <w:rFonts w:hint="eastAsia" w:ascii="Times New Roman" w:hAnsi="Times New Roman" w:cs="Times New Roman"/>
          <w:color w:val="000000" w:themeColor="text1"/>
          <w:szCs w:val="32"/>
          <w14:textFill>
            <w14:solidFill>
              <w14:schemeClr w14:val="tx1"/>
            </w14:solidFill>
          </w14:textFill>
        </w:rPr>
        <w:t>在大学本科、研究生</w:t>
      </w:r>
      <w:r>
        <w:rPr>
          <w:rStyle w:val="8"/>
          <w:rFonts w:hint="eastAsia" w:ascii="Times New Roman" w:hAnsi="Times New Roman" w:cs="Times New Roman"/>
          <w:color w:val="000000" w:themeColor="text1"/>
          <w:szCs w:val="32"/>
          <w:lang w:val="en-US" w:eastAsia="zh-CN"/>
          <w14:textFill>
            <w14:solidFill>
              <w14:schemeClr w14:val="tx1"/>
            </w14:solidFill>
          </w14:textFill>
        </w:rPr>
        <w:t>2</w:t>
      </w:r>
      <w:r>
        <w:rPr>
          <w:rStyle w:val="8"/>
          <w:rFonts w:hint="eastAsia" w:ascii="Times New Roman" w:hAnsi="Times New Roman" w:cs="Times New Roman"/>
          <w:color w:val="000000" w:themeColor="text1"/>
          <w:szCs w:val="32"/>
          <w14:textFill>
            <w14:solidFill>
              <w14:schemeClr w14:val="tx1"/>
            </w14:solidFill>
          </w14:textFill>
        </w:rPr>
        <w:t>个教育层次分别明确了对报考者的专业要求，一般报考者符合一个教育层次的专业要求，即可报考该</w:t>
      </w:r>
      <w:r>
        <w:rPr>
          <w:rFonts w:hint="eastAsia" w:ascii="Calibri" w:hAnsi="Calibri" w:cs="Times New Roman"/>
          <w:b/>
          <w:color w:val="000000" w:themeColor="text1"/>
          <w:szCs w:val="32"/>
          <w14:textFill>
            <w14:solidFill>
              <w14:schemeClr w14:val="tx1"/>
            </w14:solidFill>
          </w14:textFill>
        </w:rPr>
        <w:t>岗位</w:t>
      </w:r>
      <w:r>
        <w:rPr>
          <w:rStyle w:val="8"/>
          <w:rFonts w:hint="eastAsia" w:ascii="Times New Roman" w:hAnsi="Times New Roman" w:cs="Times New Roman"/>
          <w:b w:val="0"/>
          <w:color w:val="000000" w:themeColor="text1"/>
          <w:szCs w:val="32"/>
          <w14:textFill>
            <w14:solidFill>
              <w14:schemeClr w14:val="tx1"/>
            </w14:solidFill>
          </w14:textFill>
        </w:rPr>
        <w:t>。</w:t>
      </w:r>
      <w:r>
        <w:rPr>
          <w:rFonts w:hint="eastAsia" w:ascii="Calibri" w:hAnsi="Calibri" w:cs="Times New Roman"/>
          <w:color w:val="000000" w:themeColor="text1"/>
          <w:szCs w:val="32"/>
          <w14:textFill>
            <w14:solidFill>
              <w14:schemeClr w14:val="tx1"/>
            </w14:solidFill>
          </w14:textFill>
        </w:rPr>
        <w:t>招聘岗位</w:t>
      </w:r>
      <w:r>
        <w:rPr>
          <w:rStyle w:val="8"/>
          <w:rFonts w:hint="eastAsia" w:ascii="Times New Roman" w:hAnsi="Times New Roman" w:cs="Times New Roman"/>
          <w:color w:val="000000" w:themeColor="text1"/>
          <w:szCs w:val="32"/>
          <w14:textFill>
            <w14:solidFill>
              <w14:schemeClr w14:val="tx1"/>
            </w14:solidFill>
          </w14:textFill>
        </w:rPr>
        <w:t>另有规定的，须从其规定。</w:t>
      </w:r>
      <w:r>
        <w:rPr>
          <w:rFonts w:hint="eastAsia" w:ascii="仿宋_GB2312" w:hAnsi="仿宋_GB2312" w:cs="仿宋_GB2312"/>
          <w:color w:val="000000" w:themeColor="text1"/>
          <w:szCs w:val="32"/>
          <w14:textFill>
            <w14:solidFill>
              <w14:schemeClr w14:val="tx1"/>
            </w14:solidFill>
          </w14:textFill>
        </w:rPr>
        <w:t>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w:t>
      </w:r>
      <w:r>
        <w:rPr>
          <w:rFonts w:hint="eastAsia" w:ascii="仿宋_GB2312" w:hAnsi="仿宋_GB2312" w:cs="仿宋_GB2312"/>
          <w:color w:val="000000" w:themeColor="text1"/>
          <w:szCs w:val="32"/>
          <w:lang w:val="en-US" w:eastAsia="zh-CN"/>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年国内普通高等学历教育的应届毕业生和同期毕业的留学回国人员</w:t>
      </w:r>
      <w:r>
        <w:rPr>
          <w:rFonts w:ascii="仿宋_GB2312" w:hAnsi="仿宋_GB2312" w:cs="仿宋_GB2312"/>
          <w:color w:val="000000" w:themeColor="text1"/>
          <w:szCs w:val="32"/>
          <w14:textFill>
            <w14:solidFill>
              <w14:schemeClr w14:val="tx1"/>
            </w14:solidFill>
          </w14:textFill>
        </w:rPr>
        <w:t>，可依据于202</w:t>
      </w:r>
      <w:r>
        <w:rPr>
          <w:rFonts w:hint="eastAsia" w:ascii="仿宋_GB2312" w:hAnsi="仿宋_GB2312" w:cs="仿宋_GB2312"/>
          <w:color w:val="000000" w:themeColor="text1"/>
          <w:szCs w:val="32"/>
          <w:lang w:val="en-US" w:eastAsia="zh-CN"/>
          <w14:textFill>
            <w14:solidFill>
              <w14:schemeClr w14:val="tx1"/>
            </w14:solidFill>
          </w14:textFill>
        </w:rPr>
        <w:t>6</w:t>
      </w:r>
      <w:r>
        <w:rPr>
          <w:rFonts w:ascii="仿宋_GB2312" w:hAnsi="仿宋_GB2312" w:cs="仿宋_GB2312"/>
          <w:color w:val="000000" w:themeColor="text1"/>
          <w:szCs w:val="32"/>
          <w14:textFill>
            <w14:solidFill>
              <w14:schemeClr w14:val="tx1"/>
            </w14:solidFill>
          </w14:textFill>
        </w:rPr>
        <w:t>年7月31日前取得的普通高等学历教育和国（境）外留学学历（学位）及相应专业应聘。</w:t>
      </w:r>
    </w:p>
    <w:p>
      <w:pPr>
        <w:keepNext w:val="0"/>
        <w:keepLines w:val="0"/>
        <w:pageBreakBefore w:val="0"/>
        <w:widowControl w:val="0"/>
        <w:kinsoku/>
        <w:wordWrap/>
        <w:overflowPunct/>
        <w:topLinePunct w:val="0"/>
        <w:bidi w:val="0"/>
        <w:spacing w:line="600" w:lineRule="exact"/>
        <w:ind w:firstLine="640"/>
        <w:textAlignment w:val="auto"/>
        <w:rPr>
          <w:rFonts w:ascii="Times New Roman" w:hAnsi="Times New Roman" w:eastAsia="仿宋" w:cs="Times New Roman"/>
          <w:color w:val="000000" w:themeColor="text1"/>
          <w:szCs w:val="32"/>
          <w14:textFill>
            <w14:solidFill>
              <w14:schemeClr w14:val="tx1"/>
            </w14:solidFill>
          </w14:textFill>
        </w:rPr>
      </w:pPr>
      <w:r>
        <w:rPr>
          <w:rFonts w:ascii="Times New Roman" w:hAnsi="Times New Roman" w:eastAsia="仿宋" w:cs="Times New Roman"/>
          <w:color w:val="000000" w:themeColor="text1"/>
          <w:szCs w:val="32"/>
          <w14:textFill>
            <w14:solidFill>
              <w14:schemeClr w14:val="tx1"/>
            </w14:solidFill>
          </w14:textFill>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spacing w:line="600" w:lineRule="exact"/>
        <w:ind w:firstLine="640"/>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pacing w:line="600" w:lineRule="exact"/>
        <w:ind w:firstLine="624" w:firstLineChars="200"/>
        <w:textAlignment w:val="auto"/>
        <w:rPr>
          <w:rFonts w:ascii="Times New Roman" w:hAnsi="Times New Roman" w:eastAsia="楷体_GB2312" w:cs="Times New Roman"/>
          <w:b/>
          <w:bCs/>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lang w:val="en-US" w:eastAsia="zh-CN"/>
          <w14:textFill>
            <w14:solidFill>
              <w14:schemeClr w14:val="tx1"/>
            </w14:solidFill>
          </w14:textFill>
        </w:rPr>
        <w:t>6</w:t>
      </w:r>
      <w:r>
        <w:rPr>
          <w:rFonts w:hint="eastAsia" w:ascii="Times New Roman" w:hAnsi="Times New Roman" w:eastAsia="楷体_GB2312" w:cs="Times New Roman"/>
          <w:b/>
          <w:bCs/>
          <w:color w:val="000000" w:themeColor="text1"/>
          <w:szCs w:val="32"/>
          <w14:textFill>
            <w14:solidFill>
              <w14:schemeClr w14:val="tx1"/>
            </w14:solidFill>
          </w14:textFill>
        </w:rPr>
        <w:t>、</w:t>
      </w:r>
      <w:r>
        <w:rPr>
          <w:rFonts w:ascii="Times New Roman" w:hAnsi="Times New Roman" w:eastAsia="楷体_GB2312" w:cs="Times New Roman"/>
          <w:b/>
          <w:bCs/>
          <w:color w:val="000000" w:themeColor="text1"/>
          <w:szCs w:val="32"/>
          <w14:textFill>
            <w14:solidFill>
              <w14:schemeClr w14:val="tx1"/>
            </w14:solidFill>
          </w14:textFill>
        </w:rPr>
        <w:t>本次招聘中的有效身份证件指的是什么？</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line="600" w:lineRule="exact"/>
        <w:ind w:firstLine="612" w:firstLineChars="196"/>
        <w:textAlignment w:val="auto"/>
        <w:rPr>
          <w:rFonts w:ascii="Calibri" w:hAnsi="Calibri" w:eastAsia="楷体_GB2312" w:cs="Times New Roman"/>
          <w:b/>
          <w:color w:val="000000" w:themeColor="text1"/>
          <w:szCs w:val="32"/>
          <w14:textFill>
            <w14:solidFill>
              <w14:schemeClr w14:val="tx1"/>
            </w14:solidFill>
          </w14:textFill>
        </w:rPr>
      </w:pPr>
      <w:r>
        <w:rPr>
          <w:rFonts w:hint="eastAsia" w:eastAsia="楷体_GB2312"/>
          <w:b/>
          <w:color w:val="000000" w:themeColor="text1"/>
          <w:szCs w:val="32"/>
          <w:lang w:val="en-US" w:eastAsia="zh-CN"/>
          <w14:textFill>
            <w14:solidFill>
              <w14:schemeClr w14:val="tx1"/>
            </w14:solidFill>
          </w14:textFill>
        </w:rPr>
        <w:t>7</w:t>
      </w:r>
      <w:r>
        <w:rPr>
          <w:rFonts w:hint="eastAsia" w:eastAsia="楷体_GB2312"/>
          <w:b/>
          <w:color w:val="000000" w:themeColor="text1"/>
          <w:szCs w:val="32"/>
          <w14:textFill>
            <w14:solidFill>
              <w14:schemeClr w14:val="tx1"/>
            </w14:solidFill>
          </w14:textFill>
        </w:rPr>
        <w:t>、</w:t>
      </w:r>
      <w:r>
        <w:rPr>
          <w:rFonts w:ascii="Calibri" w:hAnsi="Calibri" w:eastAsia="楷体_GB2312" w:cs="Times New Roman"/>
          <w:b/>
          <w:color w:val="000000" w:themeColor="text1"/>
          <w:szCs w:val="32"/>
          <w14:textFill>
            <w14:solidFill>
              <w14:schemeClr w14:val="tx1"/>
            </w14:solidFill>
          </w14:textFill>
        </w:rPr>
        <w:t>网上填写报名信息时应注意什么？</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参考往年情况，报名初始阶段人数较少，资格</w:t>
      </w:r>
      <w:r>
        <w:rPr>
          <w:rFonts w:hint="eastAsia" w:ascii="Calibri" w:hAnsi="Calibri" w:cs="Times New Roman"/>
          <w:color w:val="000000" w:themeColor="text1"/>
          <w:szCs w:val="32"/>
          <w14:textFill>
            <w14:solidFill>
              <w14:schemeClr w14:val="tx1"/>
            </w14:solidFill>
          </w14:textFill>
        </w:rPr>
        <w:t>审查</w:t>
      </w:r>
      <w:r>
        <w:rPr>
          <w:rFonts w:hint="eastAsia" w:ascii="Times New Roman" w:hAnsi="Times New Roman" w:cs="Times New Roman"/>
          <w:color w:val="000000" w:themeColor="text1"/>
          <w:szCs w:val="32"/>
          <w14:textFill>
            <w14:solidFill>
              <w14:schemeClr w14:val="tx1"/>
            </w14:solidFill>
          </w14:textFill>
        </w:rPr>
        <w:t>速度较快，报名最后阶段尤其是最后一天报名集中，届时资格</w:t>
      </w:r>
      <w:r>
        <w:rPr>
          <w:rFonts w:hint="eastAsia" w:ascii="Calibri" w:hAnsi="Calibri" w:cs="Times New Roman"/>
          <w:color w:val="000000" w:themeColor="text1"/>
          <w:szCs w:val="32"/>
          <w14:textFill>
            <w14:solidFill>
              <w14:schemeClr w14:val="tx1"/>
            </w14:solidFill>
          </w14:textFill>
        </w:rPr>
        <w:t>审查</w:t>
      </w:r>
      <w:r>
        <w:rPr>
          <w:rFonts w:hint="eastAsia" w:ascii="Times New Roman" w:hAnsi="Times New Roman" w:cs="Times New Roman"/>
          <w:color w:val="000000" w:themeColor="text1"/>
          <w:szCs w:val="32"/>
          <w14:textFill>
            <w14:solidFill>
              <w14:schemeClr w14:val="tx1"/>
            </w14:solidFill>
          </w14:textFill>
        </w:rPr>
        <w:t>速度将有所下降。建议</w:t>
      </w:r>
      <w:r>
        <w:rPr>
          <w:rFonts w:hint="eastAsia" w:ascii="Calibri" w:hAnsi="Calibri" w:cs="Times New Roman"/>
          <w:color w:val="000000" w:themeColor="text1"/>
          <w:szCs w:val="32"/>
          <w14:textFill>
            <w14:solidFill>
              <w14:schemeClr w14:val="tx1"/>
            </w14:solidFill>
          </w14:textFill>
        </w:rPr>
        <w:t>应聘人员</w:t>
      </w:r>
      <w:r>
        <w:rPr>
          <w:rFonts w:hint="eastAsia" w:ascii="Times New Roman" w:hAnsi="Times New Roman" w:cs="Times New Roman"/>
          <w:color w:val="000000" w:themeColor="text1"/>
          <w:szCs w:val="32"/>
          <w14:textFill>
            <w14:solidFill>
              <w14:schemeClr w14:val="tx1"/>
            </w14:solidFill>
          </w14:textFill>
        </w:rPr>
        <w:t>合理安排报名时间，根据本人的专业、意愿和职业规划等尽早报名，尽量在网速较快的环境报名，尽量避免后期集中报名，以免错失报名机会。</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lang w:val="en-US" w:eastAsia="zh-CN"/>
          <w14:textFill>
            <w14:solidFill>
              <w14:schemeClr w14:val="tx1"/>
            </w14:solidFill>
          </w14:textFill>
        </w:rPr>
        <w:t>8</w:t>
      </w:r>
      <w:r>
        <w:rPr>
          <w:rFonts w:hint="eastAsia" w:ascii="Times New Roman" w:eastAsia="楷体_GB2312"/>
          <w:b/>
          <w:color w:val="000000" w:themeColor="text1"/>
          <w:sz w:val="32"/>
          <w:szCs w:val="32"/>
          <w14:textFill>
            <w14:solidFill>
              <w14:schemeClr w14:val="tx1"/>
            </w14:solidFill>
          </w14:textFill>
        </w:rPr>
        <w:t>、应聘人员在网上提供的照片有什么要求？</w:t>
      </w:r>
    </w:p>
    <w:p>
      <w:pPr>
        <w:keepNext w:val="0"/>
        <w:keepLines w:val="0"/>
        <w:pageBreakBefore w:val="0"/>
        <w:widowControl w:val="0"/>
        <w:kinsoku/>
        <w:wordWrap/>
        <w:overflowPunct/>
        <w:topLinePunct w:val="0"/>
        <w:bidi w:val="0"/>
        <w:spacing w:line="600" w:lineRule="exact"/>
        <w:ind w:firstLine="665"/>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应聘人员在网上报名时提供的照片，必须是1寸近期正面免冠证件照片，并且与进入面试后资格审查时所提供的照片同一底版。</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lang w:val="en-US" w:eastAsia="zh-CN"/>
          <w14:textFill>
            <w14:solidFill>
              <w14:schemeClr w14:val="tx1"/>
            </w14:solidFill>
          </w14:textFill>
        </w:rPr>
        <w:t>9</w:t>
      </w:r>
      <w:r>
        <w:rPr>
          <w:rFonts w:hint="eastAsia" w:ascii="Times New Roman" w:eastAsia="楷体_GB2312"/>
          <w:b/>
          <w:color w:val="000000" w:themeColor="text1"/>
          <w:sz w:val="32"/>
          <w:szCs w:val="32"/>
          <w14:textFill>
            <w14:solidFill>
              <w14:schemeClr w14:val="tx1"/>
            </w14:solidFill>
          </w14:textFill>
        </w:rPr>
        <w:t>、对招聘岗位资格条件有疑问的如何咨询？</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对招聘岗位资格条件和其他内容有疑问的，请与招聘单位直接联系（招聘单位咨询电话详见《岗位汇总表》）。</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lang w:val="en-US" w:eastAsia="zh-CN"/>
          <w14:textFill>
            <w14:solidFill>
              <w14:schemeClr w14:val="tx1"/>
            </w14:solidFill>
          </w14:textFill>
        </w:rPr>
        <w:t>0</w:t>
      </w:r>
      <w:r>
        <w:rPr>
          <w:rFonts w:hint="eastAsia" w:ascii="Times New Roman" w:eastAsia="楷体_GB2312"/>
          <w:b/>
          <w:color w:val="000000" w:themeColor="text1"/>
          <w:sz w:val="32"/>
          <w:szCs w:val="32"/>
          <w14:textFill>
            <w14:solidFill>
              <w14:schemeClr w14:val="tx1"/>
            </w14:solidFill>
          </w14:textFill>
        </w:rPr>
        <w:t>、应聘人员是否可以改报其他岗位？</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应聘人员在招聘单位资格初审前可更改报考岗位。</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没有通过招聘单位资格审查的应聘人员，在报名时间截止前可改报其他单位或该单位的其他岗位，但系统自动禁止该应聘人员再次报考曾被拒绝的岗位。</w:t>
      </w:r>
    </w:p>
    <w:p>
      <w:pPr>
        <w:pStyle w:val="76"/>
        <w:keepNext w:val="0"/>
        <w:keepLines w:val="0"/>
        <w:pageBreakBefore w:val="0"/>
        <w:widowControl w:val="0"/>
        <w:kinsoku/>
        <w:wordWrap/>
        <w:overflowPunct/>
        <w:topLinePunct w:val="0"/>
        <w:bidi w:val="0"/>
        <w:spacing w:line="600" w:lineRule="exact"/>
        <w:ind w:firstLine="624"/>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通过招聘单位资格审查的应聘人员，系统自动禁止该应聘人员改报其他岗位。</w:t>
      </w:r>
    </w:p>
    <w:p>
      <w:pPr>
        <w:pStyle w:val="75"/>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lang w:val="en-US" w:eastAsia="zh-CN"/>
          <w14:textFill>
            <w14:solidFill>
              <w14:schemeClr w14:val="tx1"/>
            </w14:solidFill>
          </w14:textFill>
        </w:rPr>
        <w:t>1</w:t>
      </w:r>
      <w:r>
        <w:rPr>
          <w:rFonts w:ascii="Times New Roman" w:eastAsia="楷体_GB2312"/>
          <w:b/>
          <w:color w:val="000000" w:themeColor="text1"/>
          <w:sz w:val="32"/>
          <w:szCs w:val="32"/>
          <w14:textFill>
            <w14:solidFill>
              <w14:schemeClr w14:val="tx1"/>
            </w14:solidFill>
          </w14:textFill>
        </w:rPr>
        <w:t>、进入面试范围的应聘人员需向招聘单位提交哪些证明材料？</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进入面试范围的应聘人员，需在规定的时间，按招聘岗位要求，向招聘单位提交近期1寸同底版正面免冠证件照片3张（须与网上报名的照片同一底版）和相关材料（原件及复印件，复印件由审核单位留存）。相关材料主要有：</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（1）《聊城市疾病预防控制中心202</w:t>
      </w:r>
      <w:r>
        <w:rPr>
          <w:rFonts w:hint="eastAsia" w:ascii="仿宋_GB2312" w:hAnsi="仿宋_GB2312" w:cs="仿宋_GB2312"/>
          <w:color w:val="000000" w:themeColor="text1"/>
          <w:szCs w:val="32"/>
          <w:lang w:val="en-US" w:eastAsia="zh-CN"/>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年公开招聘工作人员报名登记表》；</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（2）《应聘人员诚信承诺书》；</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（3）笔试准考证；</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（4）应届毕业生应聘的，提交身份证、学校核发的就业推荐表。</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（5）其他应聘人员，提交国家承认的学历学位及相关证书（须在202</w:t>
      </w:r>
      <w:r>
        <w:rPr>
          <w:rFonts w:hint="eastAsia" w:ascii="仿宋_GB2312" w:hAnsi="仿宋_GB2312" w:cs="仿宋_GB2312"/>
          <w:color w:val="000000" w:themeColor="text1"/>
          <w:szCs w:val="32"/>
          <w:lang w:val="en-US" w:eastAsia="zh-CN"/>
          <w14:textFill>
            <w14:solidFill>
              <w14:schemeClr w14:val="tx1"/>
            </w14:solidFill>
          </w14:textFill>
        </w:rPr>
        <w:t>6</w:t>
      </w:r>
      <w:r>
        <w:rPr>
          <w:rFonts w:hint="eastAsia" w:ascii="仿宋_GB2312" w:hAnsi="仿宋_GB2312" w:cs="仿宋_GB2312"/>
          <w:color w:val="000000" w:themeColor="text1"/>
          <w:szCs w:val="32"/>
          <w14:textFill>
            <w14:solidFill>
              <w14:schemeClr w14:val="tx1"/>
            </w14:solidFill>
          </w14:textFill>
        </w:rPr>
        <w:t>年</w:t>
      </w:r>
      <w:r>
        <w:rPr>
          <w:rFonts w:hint="eastAsia" w:ascii="仿宋_GB2312" w:hAnsi="仿宋_GB2312" w:cs="仿宋_GB2312"/>
          <w:color w:val="000000" w:themeColor="text1"/>
          <w:szCs w:val="32"/>
          <w:lang w:val="en-US" w:eastAsia="zh-CN"/>
          <w14:textFill>
            <w14:solidFill>
              <w14:schemeClr w14:val="tx1"/>
            </w14:solidFill>
          </w14:textFill>
        </w:rPr>
        <w:t>7</w:t>
      </w:r>
      <w:r>
        <w:rPr>
          <w:rFonts w:hint="eastAsia" w:ascii="仿宋_GB2312" w:hAnsi="仿宋_GB2312" w:cs="仿宋_GB2312"/>
          <w:color w:val="000000" w:themeColor="text1"/>
          <w:szCs w:val="32"/>
          <w14:textFill>
            <w14:solidFill>
              <w14:schemeClr w14:val="tx1"/>
            </w14:solidFill>
          </w14:textFill>
        </w:rPr>
        <w:t>月</w:t>
      </w:r>
      <w:r>
        <w:rPr>
          <w:rFonts w:hint="eastAsia" w:ascii="仿宋_GB2312" w:hAnsi="仿宋_GB2312" w:cs="仿宋_GB2312"/>
          <w:color w:val="000000" w:themeColor="text1"/>
          <w:szCs w:val="32"/>
          <w:lang w:val="en-US" w:eastAsia="zh-CN"/>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日前取得）、身份证等；</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（6）在职人员应聘的，提交有用人管理权限部门或单位出具的同意应聘</w:t>
      </w:r>
      <w:r>
        <w:rPr>
          <w:rFonts w:hint="eastAsia" w:ascii="仿宋_GB2312" w:hAnsi="仿宋_GB2312" w:cs="仿宋_GB2312"/>
          <w:color w:val="000000" w:themeColor="text1"/>
          <w:szCs w:val="32"/>
          <w:lang w:val="en-US" w:eastAsia="zh-CN"/>
          <w14:textFill>
            <w14:solidFill>
              <w14:schemeClr w14:val="tx1"/>
            </w14:solidFill>
          </w14:textFill>
        </w:rPr>
        <w:t>证明，已与用人单位签订就业协议的2026年应届毕业生，应聘前须与签约单位解除协议或经签约单位同意，并出具同意应聘的证明（见附件）</w:t>
      </w:r>
      <w:r>
        <w:rPr>
          <w:rFonts w:hint="eastAsia" w:ascii="仿宋_GB2312" w:hAnsi="仿宋_GB2312" w:cs="仿宋_GB2312"/>
          <w:color w:val="000000" w:themeColor="text1"/>
          <w:szCs w:val="32"/>
          <w14:textFill>
            <w14:solidFill>
              <w14:schemeClr w14:val="tx1"/>
            </w14:solidFill>
          </w14:textFill>
        </w:rPr>
        <w:t xml:space="preserve">； </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留学回国人员应聘的，除需提供《简章》中规定的相关材料外，还要出具国家教育部门的学历学位认证。应聘人员可登录教育部留学服务中心网站（http://www.cscse.edu.cn）查询认证的有关要求和程序。学历学位认证材料，在面试前与其他材料一并交招聘单位审核</w:t>
      </w:r>
      <w:r>
        <w:rPr>
          <w:rFonts w:hint="eastAsia" w:ascii="仿宋_GB2312" w:hAnsi="仿宋_GB2312" w:cs="仿宋_GB2312"/>
          <w:color w:val="000000" w:themeColor="text1"/>
          <w:szCs w:val="32"/>
          <w:lang w:eastAsia="zh-CN"/>
          <w14:textFill>
            <w14:solidFill>
              <w14:schemeClr w14:val="tx1"/>
            </w14:solidFill>
          </w14:textFill>
        </w:rPr>
        <w:t>；</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8</w:t>
      </w:r>
      <w:r>
        <w:rPr>
          <w:rFonts w:hint="eastAsia" w:ascii="仿宋_GB2312" w:hAnsi="仿宋_GB2312" w:cs="仿宋_GB2312"/>
          <w:color w:val="000000" w:themeColor="text1"/>
          <w:szCs w:val="32"/>
          <w14:textFill>
            <w14:solidFill>
              <w14:schemeClr w14:val="tx1"/>
            </w14:solidFill>
          </w14:textFill>
        </w:rPr>
        <w:t>）香港和澳门居民中的中国公民应聘的，还需提供《港澳居民来往内地通行证》</w:t>
      </w:r>
      <w:r>
        <w:rPr>
          <w:rFonts w:hint="eastAsia" w:ascii="仿宋_GB2312" w:hAnsi="仿宋_GB2312" w:cs="仿宋_GB2312"/>
          <w:color w:val="000000" w:themeColor="text1"/>
          <w:szCs w:val="32"/>
          <w:lang w:eastAsia="zh-CN"/>
          <w14:textFill>
            <w14:solidFill>
              <w14:schemeClr w14:val="tx1"/>
            </w14:solidFill>
          </w14:textFill>
        </w:rPr>
        <w:t>；</w:t>
      </w:r>
    </w:p>
    <w:p>
      <w:pPr>
        <w:keepNext w:val="0"/>
        <w:keepLines w:val="0"/>
        <w:pageBreakBefore w:val="0"/>
        <w:widowControl w:val="0"/>
        <w:kinsoku/>
        <w:wordWrap/>
        <w:overflowPunct/>
        <w:topLinePunct w:val="0"/>
        <w:bidi w:val="0"/>
        <w:spacing w:line="600" w:lineRule="exact"/>
        <w:ind w:firstLine="665"/>
        <w:textAlignment w:val="auto"/>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9</w:t>
      </w:r>
      <w:r>
        <w:rPr>
          <w:rFonts w:hint="eastAsia" w:ascii="仿宋_GB2312" w:hAnsi="仿宋_GB2312" w:cs="仿宋_GB2312"/>
          <w:color w:val="000000" w:themeColor="text1"/>
          <w:szCs w:val="32"/>
          <w14:textFill>
            <w14:solidFill>
              <w14:schemeClr w14:val="tx1"/>
            </w14:solidFill>
          </w14:textFill>
        </w:rPr>
        <w:t>）招聘岗位条件要求的其他证明材料。</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lang w:val="en-US" w:eastAsia="zh-CN"/>
          <w14:textFill>
            <w14:solidFill>
              <w14:schemeClr w14:val="tx1"/>
            </w14:solidFill>
          </w14:textFill>
        </w:rPr>
        <w:t>2</w:t>
      </w:r>
      <w:r>
        <w:rPr>
          <w:rFonts w:hint="eastAsia" w:ascii="Times New Roman" w:eastAsia="楷体_GB2312"/>
          <w:b/>
          <w:color w:val="000000" w:themeColor="text1"/>
          <w:sz w:val="32"/>
          <w:szCs w:val="32"/>
          <w14:textFill>
            <w14:solidFill>
              <w14:schemeClr w14:val="tx1"/>
            </w14:solidFill>
          </w14:textFill>
        </w:rPr>
        <w:t>、享受减免有关考务费用的考生、残疾人需提供哪些证明材料？</w:t>
      </w:r>
    </w:p>
    <w:p>
      <w:pPr>
        <w:keepNext w:val="0"/>
        <w:keepLines w:val="0"/>
        <w:pageBreakBefore w:val="0"/>
        <w:widowControl w:val="0"/>
        <w:kinsoku/>
        <w:wordWrap/>
        <w:overflowPunct/>
        <w:topLinePunct w:val="0"/>
        <w:bidi w:val="0"/>
        <w:adjustRightInd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Times New Roman" w:hAnsi="Times New Roman" w:cs="Times New Roman"/>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残疾人应提交残疾人证。</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lang w:val="en-US" w:eastAsia="zh-CN"/>
          <w14:textFill>
            <w14:solidFill>
              <w14:schemeClr w14:val="tx1"/>
            </w14:solidFill>
          </w14:textFill>
        </w:rPr>
        <w:t>3</w:t>
      </w:r>
      <w:r>
        <w:rPr>
          <w:rFonts w:hint="eastAsia" w:ascii="Times New Roman" w:eastAsia="楷体_GB2312"/>
          <w:b/>
          <w:color w:val="000000" w:themeColor="text1"/>
          <w:sz w:val="32"/>
          <w:szCs w:val="32"/>
          <w14:textFill>
            <w14:solidFill>
              <w14:schemeClr w14:val="tx1"/>
            </w14:solidFill>
          </w14:textFill>
        </w:rPr>
        <w:t>、报考人员提交报名信息2小时后，登录网站发现报名信息仍为“未审核”状态是什么原因？</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另一个原因是：报考人员较多，审核人员不能在短时间内审查完进入“审核”状态的全部报名信息，这种情况请考生耐心等待。</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lang w:val="en-US" w:eastAsia="zh-CN"/>
          <w14:textFill>
            <w14:solidFill>
              <w14:schemeClr w14:val="tx1"/>
            </w14:solidFill>
          </w14:textFill>
        </w:rPr>
        <w:t>4</w:t>
      </w:r>
      <w:r>
        <w:rPr>
          <w:rFonts w:hint="eastAsia" w:ascii="Times New Roman" w:eastAsia="楷体_GB2312"/>
          <w:b/>
          <w:color w:val="000000" w:themeColor="text1"/>
          <w:sz w:val="32"/>
          <w:szCs w:val="32"/>
          <w14:textFill>
            <w14:solidFill>
              <w14:schemeClr w14:val="tx1"/>
            </w14:solidFill>
          </w14:textFill>
        </w:rPr>
        <w:t>、如果银行端支付成功，查询报名网址缴费状态仍然是“未缴费”怎么办？</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考生网上缴费时，可能会出现银行扣费成功、但报名系统缴费状态仍显示“未缴费”的极个别情况。这是网络通讯迟滞原因造成的，一般在第二天缴费状态都会显示“已缴费”。如果第二日缴费状态仍为“未缴费”，考生可立即联系聊城市疾病预防控制中心（电话0635-8535869）。</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lang w:val="en-US" w:eastAsia="zh-CN"/>
          <w14:textFill>
            <w14:solidFill>
              <w14:schemeClr w14:val="tx1"/>
            </w14:solidFill>
          </w14:textFill>
        </w:rPr>
        <w:t>5</w:t>
      </w:r>
      <w:r>
        <w:rPr>
          <w:rFonts w:hint="eastAsia" w:ascii="Times New Roman" w:eastAsia="楷体_GB2312"/>
          <w:b/>
          <w:color w:val="000000" w:themeColor="text1"/>
          <w:sz w:val="32"/>
          <w:szCs w:val="32"/>
          <w14:textFill>
            <w14:solidFill>
              <w14:schemeClr w14:val="tx1"/>
            </w14:solidFill>
          </w14:textFill>
        </w:rPr>
        <w:t>、违纪违规及存在不诚信情形的应聘人员如何处理？</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76"/>
        <w:keepNext w:val="0"/>
        <w:keepLines w:val="0"/>
        <w:pageBreakBefore w:val="0"/>
        <w:widowControl w:val="0"/>
        <w:kinsoku/>
        <w:wordWrap/>
        <w:overflowPunct/>
        <w:topLinePunct w:val="0"/>
        <w:bidi w:val="0"/>
        <w:spacing w:line="600" w:lineRule="exact"/>
        <w:ind w:firstLine="624"/>
        <w:textAlignment w:val="auto"/>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lang w:val="en-US" w:eastAsia="zh-CN"/>
          <w14:textFill>
            <w14:solidFill>
              <w14:schemeClr w14:val="tx1"/>
            </w14:solidFill>
          </w14:textFill>
        </w:rPr>
        <w:t>6</w:t>
      </w:r>
      <w:r>
        <w:rPr>
          <w:rFonts w:hint="eastAsia" w:ascii="Times New Roman" w:eastAsia="楷体_GB2312"/>
          <w:b/>
          <w:color w:val="000000" w:themeColor="text1"/>
          <w:sz w:val="32"/>
          <w:szCs w:val="32"/>
          <w14:textFill>
            <w14:solidFill>
              <w14:schemeClr w14:val="tx1"/>
            </w14:solidFill>
          </w14:textFill>
        </w:rPr>
        <w:t>、应聘人员还需注意哪些问题？</w:t>
      </w:r>
    </w:p>
    <w:p>
      <w:pPr>
        <w:keepNext w:val="0"/>
        <w:keepLines w:val="0"/>
        <w:pageBreakBefore w:val="0"/>
        <w:widowControl w:val="0"/>
        <w:kinsoku/>
        <w:wordWrap/>
        <w:overflowPunct/>
        <w:topLinePunct w:val="0"/>
        <w:bidi w:val="0"/>
        <w:snapToGrid w:val="0"/>
        <w:spacing w:line="600" w:lineRule="exact"/>
        <w:ind w:firstLine="624" w:firstLineChars="200"/>
        <w:textAlignment w:val="auto"/>
        <w:rPr>
          <w:rFonts w:hint="eastAsia"/>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p>
    <w:sectPr>
      <w:footerReference r:id="rId5" w:type="default"/>
      <w:footerReference r:id="rId6" w:type="even"/>
      <w:pgSz w:w="11906" w:h="16838"/>
      <w:pgMar w:top="2098" w:right="1588" w:bottom="1588" w:left="1588" w:header="851" w:footer="992" w:gutter="0"/>
      <w:pgNumType w:fmt="decimal" w:start="2"/>
      <w:cols w:space="425" w:num="1"/>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NanumBarunGothic"/>
    <w:panose1 w:val="020B0604020202020204"/>
    <w:charset w:val="00"/>
    <w:family w:val="swiss"/>
    <w:pitch w:val="default"/>
    <w:sig w:usb0="00000000" w:usb1="00000000" w:usb2="00000009" w:usb3="00000000" w:csb0="000001FF" w:csb1="00000000"/>
  </w:font>
  <w:font w:name="NanumBarunGothic">
    <w:panose1 w:val="020B0603020101020101"/>
    <w:charset w:val="81"/>
    <w:family w:val="auto"/>
    <w:pitch w:val="default"/>
    <w:sig w:usb0="800002A7" w:usb1="01D77CFB" w:usb2="00000010" w:usb3="00000000" w:csb0="00080001" w:csb1="00000000"/>
  </w:font>
  <w:font w:name="Arial Unicode MS">
    <w:altName w:val="DejaVu Sans"/>
    <w:panose1 w:val="020B0604020202020204"/>
    <w:charset w:val="86"/>
    <w:family w:val="swiss"/>
    <w:pitch w:val="default"/>
    <w:sig w:usb0="00000000" w:usb1="00000000" w:usb2="0000003F" w:usb3="00000000" w:csb0="003F01F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- 13 -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wYjIyYmY0NGU0ZTU4Y2IxMTM1OGQ4NDllYjQ4ZTYifQ=="/>
  </w:docVars>
  <w:rsids>
    <w:rsidRoot w:val="00900F22"/>
    <w:rsid w:val="00017749"/>
    <w:rsid w:val="00024FC1"/>
    <w:rsid w:val="00027B47"/>
    <w:rsid w:val="00035D04"/>
    <w:rsid w:val="00035F2C"/>
    <w:rsid w:val="00050F6C"/>
    <w:rsid w:val="000621B9"/>
    <w:rsid w:val="00074AE9"/>
    <w:rsid w:val="000942FD"/>
    <w:rsid w:val="0009727D"/>
    <w:rsid w:val="000B6F33"/>
    <w:rsid w:val="000C03A5"/>
    <w:rsid w:val="000E564B"/>
    <w:rsid w:val="000E5BAA"/>
    <w:rsid w:val="00103AA8"/>
    <w:rsid w:val="00116A65"/>
    <w:rsid w:val="00152D65"/>
    <w:rsid w:val="0017631D"/>
    <w:rsid w:val="0019353E"/>
    <w:rsid w:val="00195F00"/>
    <w:rsid w:val="001C34CF"/>
    <w:rsid w:val="001E13D8"/>
    <w:rsid w:val="001F09DC"/>
    <w:rsid w:val="001F5792"/>
    <w:rsid w:val="00204877"/>
    <w:rsid w:val="002077A9"/>
    <w:rsid w:val="0023651A"/>
    <w:rsid w:val="00247D08"/>
    <w:rsid w:val="00253394"/>
    <w:rsid w:val="00266E4D"/>
    <w:rsid w:val="0026742B"/>
    <w:rsid w:val="00272EAD"/>
    <w:rsid w:val="0027617A"/>
    <w:rsid w:val="002815D8"/>
    <w:rsid w:val="002A6E38"/>
    <w:rsid w:val="002A7308"/>
    <w:rsid w:val="002B19BC"/>
    <w:rsid w:val="002C08B2"/>
    <w:rsid w:val="002E36D3"/>
    <w:rsid w:val="002E5300"/>
    <w:rsid w:val="002E7C1C"/>
    <w:rsid w:val="00320328"/>
    <w:rsid w:val="00327C4B"/>
    <w:rsid w:val="003304B0"/>
    <w:rsid w:val="00335FA5"/>
    <w:rsid w:val="00372E00"/>
    <w:rsid w:val="003A25EF"/>
    <w:rsid w:val="003D3A8B"/>
    <w:rsid w:val="003F1A87"/>
    <w:rsid w:val="004021A1"/>
    <w:rsid w:val="00444C44"/>
    <w:rsid w:val="00445FD1"/>
    <w:rsid w:val="004B683C"/>
    <w:rsid w:val="004D44CA"/>
    <w:rsid w:val="004F0DB9"/>
    <w:rsid w:val="0052385C"/>
    <w:rsid w:val="005329AC"/>
    <w:rsid w:val="00547E9D"/>
    <w:rsid w:val="00566DD7"/>
    <w:rsid w:val="005776AC"/>
    <w:rsid w:val="0058014F"/>
    <w:rsid w:val="005A608D"/>
    <w:rsid w:val="005B07C8"/>
    <w:rsid w:val="005D5A94"/>
    <w:rsid w:val="005E2403"/>
    <w:rsid w:val="0060657E"/>
    <w:rsid w:val="00611AFA"/>
    <w:rsid w:val="00617A45"/>
    <w:rsid w:val="00624D6F"/>
    <w:rsid w:val="006554EE"/>
    <w:rsid w:val="006825E7"/>
    <w:rsid w:val="00693FA3"/>
    <w:rsid w:val="006A0516"/>
    <w:rsid w:val="006B157E"/>
    <w:rsid w:val="006D4115"/>
    <w:rsid w:val="00700C3A"/>
    <w:rsid w:val="007151EA"/>
    <w:rsid w:val="00716074"/>
    <w:rsid w:val="0073201B"/>
    <w:rsid w:val="00736AC2"/>
    <w:rsid w:val="007477C2"/>
    <w:rsid w:val="00774006"/>
    <w:rsid w:val="007936CE"/>
    <w:rsid w:val="007B4776"/>
    <w:rsid w:val="007C2A86"/>
    <w:rsid w:val="007D3921"/>
    <w:rsid w:val="007D636F"/>
    <w:rsid w:val="007E2106"/>
    <w:rsid w:val="00812DBA"/>
    <w:rsid w:val="008230BA"/>
    <w:rsid w:val="0085406F"/>
    <w:rsid w:val="0086337A"/>
    <w:rsid w:val="008A27FA"/>
    <w:rsid w:val="008C2B8E"/>
    <w:rsid w:val="008D05D1"/>
    <w:rsid w:val="008E7765"/>
    <w:rsid w:val="00900F22"/>
    <w:rsid w:val="00901F5A"/>
    <w:rsid w:val="00907A3A"/>
    <w:rsid w:val="00911C4F"/>
    <w:rsid w:val="00971AAF"/>
    <w:rsid w:val="009A2FCB"/>
    <w:rsid w:val="009C3253"/>
    <w:rsid w:val="009F3ED8"/>
    <w:rsid w:val="00A37A5A"/>
    <w:rsid w:val="00A46B46"/>
    <w:rsid w:val="00A50D50"/>
    <w:rsid w:val="00A52389"/>
    <w:rsid w:val="00A55505"/>
    <w:rsid w:val="00A75409"/>
    <w:rsid w:val="00A873C6"/>
    <w:rsid w:val="00AB1A90"/>
    <w:rsid w:val="00AD4123"/>
    <w:rsid w:val="00AE6CF8"/>
    <w:rsid w:val="00B02D17"/>
    <w:rsid w:val="00B070B5"/>
    <w:rsid w:val="00B76459"/>
    <w:rsid w:val="00B905AC"/>
    <w:rsid w:val="00B97E5E"/>
    <w:rsid w:val="00BC1A89"/>
    <w:rsid w:val="00BD16E5"/>
    <w:rsid w:val="00BE6912"/>
    <w:rsid w:val="00C41505"/>
    <w:rsid w:val="00C86235"/>
    <w:rsid w:val="00CC2FBB"/>
    <w:rsid w:val="00CE3A7B"/>
    <w:rsid w:val="00CE6021"/>
    <w:rsid w:val="00CE6B0C"/>
    <w:rsid w:val="00CE795B"/>
    <w:rsid w:val="00CF7F8F"/>
    <w:rsid w:val="00D12887"/>
    <w:rsid w:val="00D263A8"/>
    <w:rsid w:val="00D27302"/>
    <w:rsid w:val="00D4405A"/>
    <w:rsid w:val="00D539CE"/>
    <w:rsid w:val="00D703D3"/>
    <w:rsid w:val="00D738EB"/>
    <w:rsid w:val="00D8089C"/>
    <w:rsid w:val="00D96F9B"/>
    <w:rsid w:val="00DA3BB5"/>
    <w:rsid w:val="00DA4A0E"/>
    <w:rsid w:val="00DA5598"/>
    <w:rsid w:val="00DB3752"/>
    <w:rsid w:val="00DC3D36"/>
    <w:rsid w:val="00DC6293"/>
    <w:rsid w:val="00DD0F8A"/>
    <w:rsid w:val="00DE15A1"/>
    <w:rsid w:val="00E5510D"/>
    <w:rsid w:val="00E6203E"/>
    <w:rsid w:val="00E63623"/>
    <w:rsid w:val="00E82618"/>
    <w:rsid w:val="00F36E80"/>
    <w:rsid w:val="00F445A5"/>
    <w:rsid w:val="00F727FD"/>
    <w:rsid w:val="00F800F9"/>
    <w:rsid w:val="00FD67F5"/>
    <w:rsid w:val="00FE4A61"/>
    <w:rsid w:val="0181186C"/>
    <w:rsid w:val="060E6ACB"/>
    <w:rsid w:val="06EC8E5E"/>
    <w:rsid w:val="08730E67"/>
    <w:rsid w:val="08A87368"/>
    <w:rsid w:val="12F252DF"/>
    <w:rsid w:val="157F0D29"/>
    <w:rsid w:val="184228AC"/>
    <w:rsid w:val="1B6073CC"/>
    <w:rsid w:val="21613AFB"/>
    <w:rsid w:val="271B44C4"/>
    <w:rsid w:val="2AF41F4A"/>
    <w:rsid w:val="2EB71C3C"/>
    <w:rsid w:val="326C7D9C"/>
    <w:rsid w:val="403236B2"/>
    <w:rsid w:val="40B06A5A"/>
    <w:rsid w:val="4B553E21"/>
    <w:rsid w:val="5E5E6674"/>
    <w:rsid w:val="5E993A95"/>
    <w:rsid w:val="5F9E593F"/>
    <w:rsid w:val="68B539FE"/>
    <w:rsid w:val="6D5863CE"/>
    <w:rsid w:val="7089719E"/>
    <w:rsid w:val="73A319EF"/>
    <w:rsid w:val="7E745D91"/>
    <w:rsid w:val="DECD1042"/>
    <w:rsid w:val="FFF6D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FollowedHyperlink"/>
    <w:basedOn w:val="7"/>
    <w:semiHidden/>
    <w:unhideWhenUsed/>
    <w:qFormat/>
    <w:uiPriority w:val="99"/>
    <w:rPr>
      <w:color w:val="954F72"/>
      <w:u w:val="single"/>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日期 Char"/>
    <w:basedOn w:val="7"/>
    <w:link w:val="2"/>
    <w:semiHidden/>
    <w:qFormat/>
    <w:uiPriority w:val="99"/>
  </w:style>
  <w:style w:type="paragraph" w:customStyle="1" w:styleId="12">
    <w:name w:val="页眉与页脚"/>
    <w:qFormat/>
    <w:uiPriority w:val="0"/>
    <w:pPr>
      <w:framePr w:wrap="around" w:vAnchor="margin" w:hAnchor="text" w:y="1"/>
      <w:tabs>
        <w:tab w:val="right" w:pos="9020"/>
      </w:tabs>
    </w:pPr>
    <w:rPr>
      <w:rFonts w:ascii="Helvetica" w:hAnsi="Helvetica" w:eastAsia="Arial Unicode MS" w:cs="Arial Unicode MS"/>
      <w:color w:val="000000"/>
      <w:sz w:val="24"/>
      <w:szCs w:val="24"/>
      <w:lang w:val="en-US" w:eastAsia="zh-CN" w:bidi="ar-SA"/>
    </w:rPr>
  </w:style>
  <w:style w:type="character" w:customStyle="1" w:styleId="13">
    <w:name w:val="页眉 Char"/>
    <w:basedOn w:val="7"/>
    <w:link w:val="5"/>
    <w:qFormat/>
    <w:uiPriority w:val="99"/>
    <w:rPr>
      <w:sz w:val="18"/>
      <w:szCs w:val="18"/>
    </w:rPr>
  </w:style>
  <w:style w:type="character" w:customStyle="1" w:styleId="14">
    <w:name w:val="页脚 Char"/>
    <w:basedOn w:val="7"/>
    <w:link w:val="4"/>
    <w:qFormat/>
    <w:uiPriority w:val="99"/>
    <w:rPr>
      <w:sz w:val="18"/>
      <w:szCs w:val="18"/>
    </w:rPr>
  </w:style>
  <w:style w:type="character" w:customStyle="1" w:styleId="15">
    <w:name w:val="批注框文本 Char"/>
    <w:basedOn w:val="7"/>
    <w:link w:val="3"/>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13"/>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1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8">
    <w:name w:val="font1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9">
    <w:name w:val="font1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0">
    <w:name w:val="font1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1">
    <w:name w:val="font1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2">
    <w:name w:val="font1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3">
    <w:name w:val="xl6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4">
    <w:name w:val="xl6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7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6">
    <w:name w:val="xl7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6">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
    <w:name w:val="xl8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6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62">
    <w:name w:val="xl9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63">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4">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9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9">
    <w:name w:val="xl99"/>
    <w:basedOn w:val="1"/>
    <w:qFormat/>
    <w:uiPriority w:val="0"/>
    <w:pPr>
      <w:widowControl/>
      <w:pBdr>
        <w:bottom w:val="single" w:color="auto" w:sz="4" w:space="0"/>
      </w:pBdr>
      <w:spacing w:before="100" w:beforeAutospacing="1" w:after="100" w:afterAutospacing="1"/>
      <w:jc w:val="center"/>
    </w:pPr>
    <w:rPr>
      <w:rFonts w:ascii="宋体" w:hAnsi="宋体" w:eastAsia="宋体" w:cs="宋体"/>
      <w:b/>
      <w:bCs/>
      <w:kern w:val="0"/>
      <w:sz w:val="40"/>
      <w:szCs w:val="40"/>
    </w:rPr>
  </w:style>
  <w:style w:type="paragraph" w:customStyle="1" w:styleId="70">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1">
    <w:name w:val="xl101"/>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2">
    <w:name w:val="xl102"/>
    <w:basedOn w:val="1"/>
    <w:qFormat/>
    <w:uiPriority w:val="0"/>
    <w:pPr>
      <w:widowControl/>
      <w:spacing w:before="100" w:beforeAutospacing="1" w:after="100" w:afterAutospacing="1"/>
      <w:jc w:val="center"/>
    </w:pPr>
    <w:rPr>
      <w:rFonts w:ascii="仿宋" w:hAnsi="仿宋" w:eastAsia="仿宋" w:cs="宋体"/>
      <w:kern w:val="0"/>
      <w:szCs w:val="32"/>
    </w:rPr>
  </w:style>
  <w:style w:type="paragraph" w:customStyle="1" w:styleId="73">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4">
    <w:name w:val="正文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5">
    <w:name w:val="纯文本1"/>
    <w:basedOn w:val="1"/>
    <w:qFormat/>
    <w:uiPriority w:val="0"/>
    <w:pPr>
      <w:autoSpaceDE w:val="0"/>
      <w:autoSpaceDN w:val="0"/>
      <w:adjustRightInd w:val="0"/>
    </w:pPr>
    <w:rPr>
      <w:rFonts w:ascii="宋体" w:hAnsi="Times New Roman" w:cs="Times New Roman"/>
      <w:sz w:val="20"/>
      <w:szCs w:val="20"/>
    </w:rPr>
  </w:style>
  <w:style w:type="paragraph" w:customStyle="1" w:styleId="76">
    <w:name w:val="纯文本2"/>
    <w:basedOn w:val="1"/>
    <w:qFormat/>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3742</Words>
  <Characters>3847</Characters>
  <Lines>29</Lines>
  <Paragraphs>8</Paragraphs>
  <TotalTime>12</TotalTime>
  <ScaleCrop>false</ScaleCrop>
  <LinksUpToDate>false</LinksUpToDate>
  <CharactersWithSpaces>3851</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2022-10-08T23:07:00Z</dcterms:created>
  <dc:creator>xb21cn</dc:creator>
  <cp:lastModifiedBy>user</cp:lastModifiedBy>
  <cp:lastPrinted>2026-02-25T00:09:00Z</cp:lastPrinted>
  <dcterms:modified xsi:type="dcterms:W3CDTF">2026-07-01T16:06:42Z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2844D76F2EA747C1A68E21FDC5077943</vt:lpwstr>
  </property>
  <property fmtid="{D5CDD505-2E9C-101B-9397-08002B2CF9AE}" pid="4" name="KSOTemplateDocerSaveRecord">
    <vt:lpwstr>eyJoZGlkIjoiMjk1NTM4MWVhY2Y3ZDhkZGEzOGVmMzE2OTQwOWE1NDIiLCJ1c2VySWQiOiI1NTAzMzg3MjkifQ==</vt:lpwstr>
  </property>
</Properties>
</file>