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95709">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附件1：</w:t>
      </w:r>
    </w:p>
    <w:p w14:paraId="0EDEB8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snapToGrid w:val="0"/>
          <w:color w:val="000000"/>
          <w:kern w:val="0"/>
          <w:sz w:val="28"/>
          <w:szCs w:val="28"/>
          <w:lang w:val="en-US" w:eastAsia="zh-CN"/>
        </w:rPr>
      </w:pPr>
      <w:r>
        <w:rPr>
          <w:rFonts w:hint="eastAsia" w:ascii="方正小标宋简体" w:hAnsi="方正小标宋简体" w:eastAsia="方正小标宋简体" w:cs="方正小标宋简体"/>
          <w:snapToGrid w:val="0"/>
          <w:color w:val="000000"/>
          <w:kern w:val="0"/>
          <w:sz w:val="28"/>
          <w:szCs w:val="28"/>
          <w:lang w:val="en-US" w:eastAsia="zh-CN"/>
        </w:rPr>
        <w:t>岗位及任职条件</w:t>
      </w:r>
    </w:p>
    <w:tbl>
      <w:tblPr>
        <w:tblStyle w:val="8"/>
        <w:tblpPr w:leftFromText="180" w:rightFromText="180" w:vertAnchor="text" w:horzAnchor="page" w:tblpXSpec="center" w:tblpY="408"/>
        <w:tblOverlap w:val="never"/>
        <w:tblW w:w="5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879"/>
        <w:gridCol w:w="957"/>
        <w:gridCol w:w="712"/>
        <w:gridCol w:w="2656"/>
        <w:gridCol w:w="3053"/>
        <w:gridCol w:w="823"/>
      </w:tblGrid>
      <w:tr w14:paraId="5804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29" w:type="pct"/>
            <w:vAlign w:val="center"/>
          </w:tcPr>
          <w:p w14:paraId="00F88881">
            <w:pPr>
              <w:pStyle w:val="6"/>
              <w:widowControl/>
              <w:spacing w:line="15" w:lineRule="atLeast"/>
              <w:jc w:val="center"/>
              <w:rPr>
                <w:rFonts w:hint="eastAsia" w:ascii="仿宋_GB2312" w:hAnsi="黑体" w:eastAsia="仿宋_GB2312" w:cs="宋体"/>
                <w:sz w:val="21"/>
                <w:szCs w:val="21"/>
              </w:rPr>
            </w:pPr>
            <w:bookmarkStart w:id="0" w:name="OLE_LINK3"/>
            <w:r>
              <w:rPr>
                <w:rFonts w:hint="eastAsia" w:ascii="仿宋_GB2312" w:hAnsi="黑体" w:eastAsia="仿宋_GB2312" w:cs="宋体"/>
                <w:sz w:val="21"/>
                <w:szCs w:val="21"/>
              </w:rPr>
              <w:t>序号</w:t>
            </w:r>
          </w:p>
        </w:tc>
        <w:tc>
          <w:tcPr>
            <w:tcW w:w="452" w:type="pct"/>
            <w:vAlign w:val="center"/>
          </w:tcPr>
          <w:p w14:paraId="67502D94">
            <w:pPr>
              <w:pStyle w:val="6"/>
              <w:widowControl/>
              <w:spacing w:line="15" w:lineRule="atLeast"/>
              <w:jc w:val="center"/>
              <w:rPr>
                <w:rFonts w:hint="eastAsia" w:ascii="仿宋_GB2312" w:hAnsi="黑体" w:eastAsia="仿宋_GB2312" w:cs="宋体"/>
                <w:sz w:val="21"/>
                <w:szCs w:val="21"/>
              </w:rPr>
            </w:pPr>
            <w:r>
              <w:rPr>
                <w:rFonts w:hint="eastAsia" w:ascii="仿宋_GB2312" w:hAnsi="黑体" w:eastAsia="仿宋_GB2312" w:cs="宋体"/>
                <w:sz w:val="21"/>
                <w:szCs w:val="21"/>
              </w:rPr>
              <w:t>单位</w:t>
            </w:r>
          </w:p>
        </w:tc>
        <w:tc>
          <w:tcPr>
            <w:tcW w:w="491" w:type="pct"/>
            <w:vAlign w:val="center"/>
          </w:tcPr>
          <w:p w14:paraId="13B41BAA">
            <w:pPr>
              <w:pStyle w:val="6"/>
              <w:widowControl/>
              <w:spacing w:line="15" w:lineRule="atLeast"/>
              <w:jc w:val="center"/>
              <w:rPr>
                <w:rFonts w:hint="eastAsia" w:ascii="仿宋_GB2312" w:hAnsi="黑体" w:eastAsia="仿宋_GB2312" w:cs="宋体"/>
                <w:sz w:val="21"/>
                <w:szCs w:val="21"/>
              </w:rPr>
            </w:pPr>
            <w:r>
              <w:rPr>
                <w:rFonts w:hint="eastAsia" w:ascii="仿宋_GB2312" w:hAnsi="黑体" w:eastAsia="仿宋_GB2312" w:cs="宋体"/>
                <w:sz w:val="21"/>
                <w:szCs w:val="21"/>
              </w:rPr>
              <w:t>岗位</w:t>
            </w:r>
          </w:p>
        </w:tc>
        <w:tc>
          <w:tcPr>
            <w:tcW w:w="366" w:type="pct"/>
            <w:vAlign w:val="center"/>
          </w:tcPr>
          <w:p w14:paraId="1A5DC311">
            <w:pPr>
              <w:pStyle w:val="6"/>
              <w:widowControl/>
              <w:spacing w:line="15" w:lineRule="atLeast"/>
              <w:jc w:val="center"/>
              <w:rPr>
                <w:rFonts w:hint="eastAsia" w:ascii="仿宋_GB2312" w:hAnsi="黑体" w:eastAsia="仿宋_GB2312" w:cs="宋体"/>
                <w:sz w:val="21"/>
                <w:szCs w:val="21"/>
              </w:rPr>
            </w:pPr>
            <w:r>
              <w:rPr>
                <w:rFonts w:hint="eastAsia" w:ascii="仿宋_GB2312" w:hAnsi="黑体" w:eastAsia="仿宋_GB2312" w:cs="宋体"/>
                <w:sz w:val="21"/>
                <w:szCs w:val="21"/>
              </w:rPr>
              <w:t>职数</w:t>
            </w:r>
          </w:p>
        </w:tc>
        <w:tc>
          <w:tcPr>
            <w:tcW w:w="1366" w:type="pct"/>
            <w:vAlign w:val="center"/>
          </w:tcPr>
          <w:p w14:paraId="6180A306">
            <w:pPr>
              <w:pStyle w:val="6"/>
              <w:widowControl/>
              <w:spacing w:line="15" w:lineRule="atLeast"/>
              <w:jc w:val="center"/>
              <w:rPr>
                <w:rFonts w:hint="default"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岗位职责</w:t>
            </w:r>
          </w:p>
        </w:tc>
        <w:tc>
          <w:tcPr>
            <w:tcW w:w="1570" w:type="pct"/>
            <w:vAlign w:val="center"/>
          </w:tcPr>
          <w:p w14:paraId="7810C78F">
            <w:pPr>
              <w:pStyle w:val="6"/>
              <w:widowControl/>
              <w:spacing w:line="15" w:lineRule="atLeast"/>
              <w:jc w:val="center"/>
              <w:rPr>
                <w:rFonts w:hint="eastAsia" w:ascii="仿宋_GB2312" w:hAnsi="黑体" w:eastAsia="仿宋_GB2312" w:cs="宋体"/>
                <w:sz w:val="21"/>
                <w:szCs w:val="21"/>
              </w:rPr>
            </w:pPr>
            <w:r>
              <w:rPr>
                <w:rFonts w:hint="eastAsia" w:ascii="仿宋_GB2312" w:hAnsi="黑体" w:eastAsia="仿宋_GB2312" w:cs="宋体"/>
                <w:sz w:val="21"/>
                <w:szCs w:val="21"/>
              </w:rPr>
              <w:t>任职资格条件</w:t>
            </w:r>
          </w:p>
        </w:tc>
        <w:tc>
          <w:tcPr>
            <w:tcW w:w="423" w:type="pct"/>
            <w:vAlign w:val="center"/>
          </w:tcPr>
          <w:p w14:paraId="5C09AADF">
            <w:pPr>
              <w:pStyle w:val="6"/>
              <w:widowControl/>
              <w:spacing w:line="15" w:lineRule="atLeast"/>
              <w:jc w:val="center"/>
              <w:rPr>
                <w:rFonts w:hint="eastAsia" w:ascii="仿宋_GB2312" w:hAnsi="黑体" w:eastAsia="仿宋_GB2312" w:cs="宋体"/>
                <w:sz w:val="21"/>
                <w:szCs w:val="21"/>
              </w:rPr>
            </w:pPr>
            <w:r>
              <w:rPr>
                <w:rFonts w:hint="eastAsia" w:ascii="仿宋_GB2312" w:hAnsi="黑体" w:eastAsia="仿宋_GB2312" w:cs="宋体"/>
                <w:sz w:val="21"/>
                <w:szCs w:val="21"/>
              </w:rPr>
              <w:t>备注</w:t>
            </w:r>
          </w:p>
        </w:tc>
      </w:tr>
      <w:tr w14:paraId="3468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6" w:hRule="atLeast"/>
          <w:jc w:val="center"/>
        </w:trPr>
        <w:tc>
          <w:tcPr>
            <w:tcW w:w="329" w:type="pct"/>
            <w:vAlign w:val="center"/>
          </w:tcPr>
          <w:p w14:paraId="5D695330">
            <w:pPr>
              <w:pStyle w:val="6"/>
              <w:widowControl/>
              <w:spacing w:line="15" w:lineRule="atLeast"/>
              <w:jc w:val="center"/>
              <w:rPr>
                <w:rFonts w:hint="eastAsia" w:ascii="仿宋_GB2312" w:hAnsi="黑体" w:eastAsia="仿宋_GB2312" w:cs="宋体"/>
                <w:sz w:val="21"/>
                <w:szCs w:val="21"/>
                <w:lang w:eastAsia="zh-CN"/>
              </w:rPr>
            </w:pPr>
            <w:r>
              <w:rPr>
                <w:rFonts w:hint="eastAsia" w:ascii="仿宋_GB2312" w:hAnsi="黑体" w:eastAsia="仿宋_GB2312" w:cs="宋体"/>
                <w:sz w:val="21"/>
                <w:szCs w:val="21"/>
                <w:lang w:val="en-US" w:eastAsia="zh-CN"/>
              </w:rPr>
              <w:t>1</w:t>
            </w:r>
          </w:p>
        </w:tc>
        <w:tc>
          <w:tcPr>
            <w:tcW w:w="452" w:type="pct"/>
            <w:vAlign w:val="center"/>
          </w:tcPr>
          <w:p w14:paraId="0501CBF6">
            <w:pPr>
              <w:pStyle w:val="6"/>
              <w:widowControl/>
              <w:spacing w:line="15" w:lineRule="atLeast"/>
              <w:jc w:val="center"/>
              <w:rPr>
                <w:rFonts w:hint="eastAsia" w:ascii="仿宋_GB2312" w:hAnsi="黑体" w:eastAsia="仿宋_GB2312" w:cs="宋体"/>
                <w:sz w:val="21"/>
                <w:szCs w:val="21"/>
              </w:rPr>
            </w:pPr>
            <w:r>
              <w:rPr>
                <w:rFonts w:hint="eastAsia" w:ascii="仿宋_GB2312" w:hAnsi="黑体" w:eastAsia="仿宋_GB2312" w:cs="宋体"/>
                <w:sz w:val="21"/>
                <w:szCs w:val="21"/>
                <w:lang w:val="en-US" w:eastAsia="zh-CN"/>
              </w:rPr>
              <w:t>中铁投资集团交通运营有限公司</w:t>
            </w:r>
          </w:p>
        </w:tc>
        <w:tc>
          <w:tcPr>
            <w:tcW w:w="491" w:type="pct"/>
            <w:vAlign w:val="center"/>
          </w:tcPr>
          <w:p w14:paraId="52A04A68">
            <w:pPr>
              <w:pStyle w:val="6"/>
              <w:widowControl/>
              <w:spacing w:line="15" w:lineRule="atLeast"/>
              <w:jc w:val="center"/>
              <w:rPr>
                <w:rFonts w:hint="eastAsia" w:ascii="仿宋_GB2312" w:hAnsi="黑体" w:eastAsia="仿宋_GB2312" w:cs="宋体"/>
                <w:sz w:val="21"/>
                <w:szCs w:val="21"/>
              </w:rPr>
            </w:pPr>
            <w:r>
              <w:rPr>
                <w:rFonts w:hint="eastAsia" w:ascii="仿宋_GB2312" w:hAnsi="黑体" w:eastAsia="仿宋_GB2312" w:cs="宋体"/>
                <w:sz w:val="21"/>
                <w:szCs w:val="21"/>
                <w:lang w:val="en-US" w:eastAsia="zh-CN"/>
              </w:rPr>
              <w:t>副总经理（兼任总工程师）</w:t>
            </w:r>
          </w:p>
        </w:tc>
        <w:tc>
          <w:tcPr>
            <w:tcW w:w="366" w:type="pct"/>
            <w:vAlign w:val="center"/>
          </w:tcPr>
          <w:p w14:paraId="5FDC8A26">
            <w:pPr>
              <w:pStyle w:val="6"/>
              <w:widowControl/>
              <w:spacing w:line="15" w:lineRule="atLeast"/>
              <w:jc w:val="center"/>
              <w:rPr>
                <w:rFonts w:hint="eastAsia" w:ascii="仿宋_GB2312" w:hAnsi="黑体" w:eastAsia="仿宋_GB2312" w:cs="宋体"/>
                <w:sz w:val="21"/>
                <w:szCs w:val="21"/>
              </w:rPr>
            </w:pPr>
            <w:r>
              <w:rPr>
                <w:rFonts w:hint="eastAsia" w:ascii="仿宋_GB2312" w:hAnsi="黑体" w:eastAsia="仿宋_GB2312" w:cs="宋体"/>
                <w:sz w:val="21"/>
                <w:szCs w:val="21"/>
              </w:rPr>
              <w:t>1</w:t>
            </w:r>
          </w:p>
        </w:tc>
        <w:tc>
          <w:tcPr>
            <w:tcW w:w="1366" w:type="pct"/>
            <w:vAlign w:val="center"/>
          </w:tcPr>
          <w:p w14:paraId="1948090E">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1.统筹运营技术管理工作，</w:t>
            </w:r>
            <w:r>
              <w:rPr>
                <w:rFonts w:hint="default" w:ascii="仿宋_GB2312" w:hAnsi="黑体" w:eastAsia="仿宋_GB2312" w:cs="宋体"/>
                <w:sz w:val="21"/>
                <w:szCs w:val="21"/>
                <w:lang w:val="en-US" w:eastAsia="zh-CN"/>
              </w:rPr>
              <w:t>牵头制定设备运维、技术管理、智慧运维中长期规划及年度计划，</w:t>
            </w:r>
            <w:r>
              <w:rPr>
                <w:rFonts w:hint="eastAsia" w:ascii="仿宋_GB2312" w:hAnsi="黑体" w:eastAsia="仿宋_GB2312" w:cs="宋体"/>
                <w:sz w:val="21"/>
                <w:szCs w:val="21"/>
                <w:lang w:val="en-US" w:eastAsia="zh-CN"/>
              </w:rPr>
              <w:t>健全</w:t>
            </w:r>
            <w:r>
              <w:rPr>
                <w:rFonts w:hint="default" w:ascii="仿宋_GB2312" w:hAnsi="黑体" w:eastAsia="仿宋_GB2312" w:cs="宋体"/>
                <w:sz w:val="21"/>
                <w:szCs w:val="21"/>
                <w:lang w:val="en-US" w:eastAsia="zh-CN"/>
              </w:rPr>
              <w:t>运维、技术、质量、信息化管理制度体系，审定核心技术规程</w:t>
            </w:r>
            <w:r>
              <w:rPr>
                <w:rFonts w:hint="eastAsia" w:ascii="仿宋_GB2312" w:hAnsi="黑体" w:eastAsia="仿宋_GB2312" w:cs="宋体"/>
                <w:sz w:val="21"/>
                <w:szCs w:val="21"/>
                <w:lang w:val="en-US" w:eastAsia="zh-CN"/>
              </w:rPr>
              <w:t>。</w:t>
            </w:r>
          </w:p>
          <w:p w14:paraId="0312B795">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2.负责设备技改技措、更新改造、车辆架大修项目的方案审核、成本管控、过程督导及成效评估。</w:t>
            </w:r>
          </w:p>
          <w:p w14:paraId="5B80A96D">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3.统筹公司科技创新、技术攻关及成果转化工作，推进智慧运维、信息化系统建设迭代，推广行业新技术、新工艺落地应用，助力运营降本增效。</w:t>
            </w:r>
          </w:p>
          <w:p w14:paraId="0692A55A">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4.负责技术、运维、数智化领域人才队伍建设，制定培养计划、组织专业赋能，搭建高素质技术管理人才梯队，做好骨干干部培养带教工作。</w:t>
            </w:r>
          </w:p>
          <w:p w14:paraId="04579154">
            <w:pPr>
              <w:pStyle w:val="6"/>
              <w:widowControl/>
              <w:spacing w:line="15" w:lineRule="atLeast"/>
              <w:jc w:val="left"/>
              <w:rPr>
                <w:rFonts w:hint="default"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5.负责分管领域对外对接、对内协同工作，保障运营工作有序推进，完成上级交办的其他工作。</w:t>
            </w:r>
          </w:p>
        </w:tc>
        <w:tc>
          <w:tcPr>
            <w:tcW w:w="1570" w:type="pct"/>
            <w:vAlign w:val="center"/>
          </w:tcPr>
          <w:p w14:paraId="6C5071C8">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1.第一学历为大学本科及以上学历，轨道交通、交通运输、设备（含车辆）相关专业。</w:t>
            </w:r>
          </w:p>
          <w:p w14:paraId="30C1C8B9">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2.具有城市轨道交通相关专业高级及以上专业技术职称；通过国家交通行业两类人员考试者优先。</w:t>
            </w:r>
          </w:p>
          <w:p w14:paraId="3DEEA09A">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3.</w:t>
            </w:r>
            <w:bookmarkStart w:id="1" w:name="_GoBack"/>
            <w:bookmarkEnd w:id="1"/>
            <w:r>
              <w:rPr>
                <w:rFonts w:hint="eastAsia" w:ascii="仿宋_GB2312" w:hAnsi="黑体" w:eastAsia="仿宋_GB2312" w:cs="宋体"/>
                <w:sz w:val="21"/>
                <w:szCs w:val="21"/>
                <w:lang w:val="en-US" w:eastAsia="zh-CN"/>
              </w:rPr>
              <w:t>设备（含车辆）维护或设备（含车辆）运营技术管理工作经历10年及以上，熟悉城市轨道交通设备维护专业运营维保及设备调试相关专业知识和相关法律法规；</w:t>
            </w:r>
          </w:p>
          <w:p w14:paraId="798484B8">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4.具有招聘岗位同层级任职经历，或具有招聘岗位下一层级正职管理岗位工作满 5 年及以上经历。</w:t>
            </w:r>
          </w:p>
          <w:p w14:paraId="5C2F9123">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5.专业技术能力突出，具备较强的突发事件应急处置能力，以及优秀的统筹管理、沟通协调、团队建设能力。</w:t>
            </w:r>
          </w:p>
          <w:p w14:paraId="6CB231C6">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6.遵纪守法，严于律己。不存在因违纪违规被原单位处分、辞退、开除，因违法犯罪被行政、刑事处罚，或违法违纪正在调查或有犯罪嫌疑等情况。</w:t>
            </w:r>
          </w:p>
          <w:p w14:paraId="31CD04B6">
            <w:pPr>
              <w:pStyle w:val="6"/>
              <w:widowControl/>
              <w:spacing w:line="15" w:lineRule="atLeast"/>
              <w:jc w:val="left"/>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7.身体健康，具有正常履行岗位职责的身体条件。</w:t>
            </w:r>
          </w:p>
          <w:p w14:paraId="5AEDEB52">
            <w:pPr>
              <w:pStyle w:val="6"/>
              <w:widowControl/>
              <w:spacing w:line="15" w:lineRule="atLeast"/>
              <w:jc w:val="left"/>
              <w:rPr>
                <w:rFonts w:hint="eastAsia" w:ascii="仿宋_GB2312" w:hAnsi="黑体" w:eastAsia="仿宋_GB2312" w:cs="宋体"/>
                <w:sz w:val="21"/>
                <w:szCs w:val="21"/>
                <w:lang w:val="en-US" w:eastAsia="zh-CN"/>
              </w:rPr>
            </w:pPr>
          </w:p>
        </w:tc>
        <w:tc>
          <w:tcPr>
            <w:tcW w:w="423" w:type="pct"/>
            <w:vAlign w:val="center"/>
          </w:tcPr>
          <w:p w14:paraId="19288245">
            <w:pPr>
              <w:pStyle w:val="6"/>
              <w:widowControl/>
              <w:spacing w:line="15" w:lineRule="atLeast"/>
              <w:rPr>
                <w:rFonts w:hint="eastAsia" w:ascii="仿宋_GB2312" w:hAnsi="黑体" w:eastAsia="仿宋_GB2312" w:cs="宋体"/>
                <w:sz w:val="21"/>
                <w:szCs w:val="21"/>
              </w:rPr>
            </w:pPr>
          </w:p>
        </w:tc>
      </w:tr>
      <w:tr w14:paraId="4102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73" w:type="pct"/>
            <w:gridSpan w:val="3"/>
            <w:vAlign w:val="center"/>
          </w:tcPr>
          <w:p w14:paraId="7FF55F19">
            <w:pPr>
              <w:pStyle w:val="6"/>
              <w:widowControl/>
              <w:spacing w:line="15" w:lineRule="atLeast"/>
              <w:jc w:val="center"/>
              <w:rPr>
                <w:rFonts w:hint="eastAsia"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合计</w:t>
            </w:r>
          </w:p>
        </w:tc>
        <w:tc>
          <w:tcPr>
            <w:tcW w:w="366" w:type="pct"/>
            <w:vAlign w:val="center"/>
          </w:tcPr>
          <w:p w14:paraId="0EC615D8">
            <w:pPr>
              <w:pStyle w:val="6"/>
              <w:widowControl/>
              <w:spacing w:line="15" w:lineRule="atLeast"/>
              <w:jc w:val="center"/>
              <w:rPr>
                <w:rFonts w:hint="default" w:ascii="仿宋_GB2312" w:hAnsi="黑体" w:eastAsia="仿宋_GB2312" w:cs="宋体"/>
                <w:sz w:val="21"/>
                <w:szCs w:val="21"/>
                <w:lang w:val="en-US" w:eastAsia="zh-CN"/>
              </w:rPr>
            </w:pPr>
            <w:r>
              <w:rPr>
                <w:rFonts w:hint="eastAsia" w:ascii="仿宋_GB2312" w:hAnsi="黑体" w:eastAsia="仿宋_GB2312" w:cs="宋体"/>
                <w:sz w:val="21"/>
                <w:szCs w:val="21"/>
                <w:lang w:val="en-US" w:eastAsia="zh-CN"/>
              </w:rPr>
              <w:t>1</w:t>
            </w:r>
          </w:p>
        </w:tc>
        <w:tc>
          <w:tcPr>
            <w:tcW w:w="1366" w:type="pct"/>
            <w:vAlign w:val="center"/>
          </w:tcPr>
          <w:p w14:paraId="6D4240CC">
            <w:pPr>
              <w:pStyle w:val="6"/>
              <w:widowControl/>
              <w:spacing w:line="15" w:lineRule="atLeast"/>
              <w:jc w:val="center"/>
              <w:rPr>
                <w:rFonts w:hint="eastAsia" w:ascii="仿宋_GB2312" w:hAnsi="黑体" w:eastAsia="仿宋_GB2312" w:cs="宋体"/>
                <w:sz w:val="21"/>
                <w:szCs w:val="21"/>
              </w:rPr>
            </w:pPr>
          </w:p>
        </w:tc>
        <w:tc>
          <w:tcPr>
            <w:tcW w:w="1570" w:type="pct"/>
            <w:vAlign w:val="center"/>
          </w:tcPr>
          <w:p w14:paraId="0FE5439C">
            <w:pPr>
              <w:pStyle w:val="6"/>
              <w:widowControl/>
              <w:spacing w:line="15" w:lineRule="atLeast"/>
              <w:jc w:val="center"/>
              <w:rPr>
                <w:rFonts w:hint="eastAsia" w:ascii="仿宋_GB2312" w:hAnsi="黑体" w:eastAsia="仿宋_GB2312" w:cs="宋体"/>
                <w:sz w:val="21"/>
                <w:szCs w:val="21"/>
              </w:rPr>
            </w:pPr>
          </w:p>
        </w:tc>
        <w:tc>
          <w:tcPr>
            <w:tcW w:w="423" w:type="pct"/>
            <w:vAlign w:val="center"/>
          </w:tcPr>
          <w:p w14:paraId="4E42A3EA">
            <w:pPr>
              <w:pStyle w:val="6"/>
              <w:widowControl/>
              <w:spacing w:line="15" w:lineRule="atLeast"/>
              <w:jc w:val="center"/>
              <w:rPr>
                <w:rFonts w:hint="eastAsia" w:ascii="仿宋_GB2312" w:hAnsi="黑体" w:eastAsia="仿宋_GB2312" w:cs="宋体"/>
                <w:sz w:val="21"/>
                <w:szCs w:val="21"/>
              </w:rPr>
            </w:pPr>
          </w:p>
        </w:tc>
      </w:tr>
      <w:bookmarkEnd w:id="0"/>
    </w:tbl>
    <w:p w14:paraId="46BB7F80">
      <w:pPr>
        <w:widowControl/>
        <w:kinsoku w:val="0"/>
        <w:autoSpaceDE w:val="0"/>
        <w:autoSpaceDN w:val="0"/>
        <w:adjustRightInd w:val="0"/>
        <w:snapToGrid w:val="0"/>
        <w:spacing w:line="240" w:lineRule="auto"/>
        <w:jc w:val="center"/>
        <w:textAlignment w:val="baseline"/>
        <w:rPr>
          <w:rFonts w:hint="eastAsia" w:ascii="方正小标宋简体" w:hAnsi="方正小标宋简体" w:eastAsia="方正小标宋简体" w:cs="方正小标宋简体"/>
          <w:snapToGrid w:val="0"/>
          <w:color w:val="000000"/>
          <w:kern w:val="0"/>
          <w:sz w:val="28"/>
          <w:szCs w:val="28"/>
          <w:lang w:val="en-US" w:eastAsia="zh-CN"/>
        </w:rPr>
      </w:pPr>
    </w:p>
    <w:p w14:paraId="0C411B6E"/>
    <w:sectPr>
      <w:footerReference r:id="rId3" w:type="default"/>
      <w:pgSz w:w="11906" w:h="16838"/>
      <w:pgMar w:top="1247" w:right="1797" w:bottom="1247" w:left="1797" w:header="851"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333501"/>
    </w:sdtPr>
    <w:sdtContent>
      <w:p w14:paraId="4B1FF73B">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14:paraId="003EA1F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ZmY3OTExNDFlMTY4MjQ5MTY2ZjMzYzhmNGI2ZWEifQ=="/>
  </w:docVars>
  <w:rsids>
    <w:rsidRoot w:val="00172A27"/>
    <w:rsid w:val="001D239A"/>
    <w:rsid w:val="002445D6"/>
    <w:rsid w:val="00272BD6"/>
    <w:rsid w:val="00470F7F"/>
    <w:rsid w:val="00756F9C"/>
    <w:rsid w:val="00786FA5"/>
    <w:rsid w:val="00792C3C"/>
    <w:rsid w:val="008259A8"/>
    <w:rsid w:val="008A7D47"/>
    <w:rsid w:val="00B12EBC"/>
    <w:rsid w:val="00B4085D"/>
    <w:rsid w:val="00C57BCB"/>
    <w:rsid w:val="00CD73CF"/>
    <w:rsid w:val="02B531EC"/>
    <w:rsid w:val="0EC6168E"/>
    <w:rsid w:val="12EA1621"/>
    <w:rsid w:val="1A5D5DE0"/>
    <w:rsid w:val="1F116661"/>
    <w:rsid w:val="2347324C"/>
    <w:rsid w:val="2C332259"/>
    <w:rsid w:val="3E1C2DED"/>
    <w:rsid w:val="3F487CCC"/>
    <w:rsid w:val="41004265"/>
    <w:rsid w:val="429E2D3C"/>
    <w:rsid w:val="507E21F7"/>
    <w:rsid w:val="541A34B9"/>
    <w:rsid w:val="54E4189B"/>
    <w:rsid w:val="5E0460FA"/>
    <w:rsid w:val="6A5D4D8D"/>
    <w:rsid w:val="6FD96098"/>
    <w:rsid w:val="734B78D3"/>
    <w:rsid w:val="7A502A3C"/>
    <w:rsid w:val="7C532BAB"/>
    <w:rsid w:val="7D076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jc w:val="left"/>
    </w:pPr>
    <w:rPr>
      <w:rFonts w:asciiTheme="minorHAnsi" w:hAnsiTheme="minorHAnsi" w:eastAsiaTheme="minorEastAsia"/>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 w:type="paragraph" w:customStyle="1" w:styleId="13">
    <w:name w:val="Table Text"/>
    <w:basedOn w:val="1"/>
    <w:semiHidden/>
    <w:qFormat/>
    <w:uiPriority w:val="0"/>
    <w:rPr>
      <w:rFonts w:ascii="宋体" w:hAnsi="宋体" w:eastAsia="宋体" w:cs="宋体"/>
      <w:sz w:val="25"/>
      <w:szCs w:val="25"/>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685</Words>
  <Characters>699</Characters>
  <Lines>17</Lines>
  <Paragraphs>5</Paragraphs>
  <TotalTime>11</TotalTime>
  <ScaleCrop>false</ScaleCrop>
  <LinksUpToDate>false</LinksUpToDate>
  <CharactersWithSpaces>703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2017-04-24T13:42:00Z</dcterms:created>
  <dc:creator>朱扬坤</dc:creator>
  <cp:lastModifiedBy>郭培富</cp:lastModifiedBy>
  <dcterms:modified xsi:type="dcterms:W3CDTF">2026-06-27T02:32:03Z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E7CE1C7002224E7F90779FD7EF7F8E61</vt:lpwstr>
  </property>
  <property fmtid="{D5CDD505-2E9C-101B-9397-08002B2CF9AE}" pid="4" name="KSOTemplateDocerSaveRecord">
    <vt:lpwstr>eyJoZGlkIjoiMzEwNTM5NzYwMDRjMzkwZTVkZjY2ODkwMGIxNGU0OTUiLCJ1c2VySWQiOiI2MDc3MTgyODkifQ==</vt:lpwstr>
  </property>
</Properties>
</file>