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772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/>
          <w:color w:val="000000"/>
          <w:kern w:val="2"/>
          <w:sz w:val="32"/>
          <w:szCs w:val="32"/>
          <w:lang w:val="en-US" w:eastAsia="zh-CN"/>
        </w:rPr>
        <w:t>附件1：</w:t>
      </w:r>
    </w:p>
    <w:p w14:paraId="0D64CA18">
      <w:pPr>
        <w:spacing w:line="6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  <w:lang w:val="en-US" w:eastAsia="zh-CN"/>
        </w:rPr>
        <w:t>鄂尔多斯市高新</w:t>
      </w: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  <w:t>技术产业开发区消防救援大队拟招聘文职人员岗位需求表</w:t>
      </w:r>
    </w:p>
    <w:p w14:paraId="572F98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default" w:ascii="Times New Roman" w:hAnsi="Times New Roman" w:cs="Times New Roman"/>
        </w:rPr>
      </w:pP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983"/>
        <w:gridCol w:w="3118"/>
        <w:gridCol w:w="1335"/>
        <w:gridCol w:w="3872"/>
        <w:gridCol w:w="3874"/>
      </w:tblGrid>
      <w:tr w14:paraId="2CECEAFD">
        <w:trPr>
          <w:trHeight w:val="1000" w:hRule="atLeast"/>
        </w:trPr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招聘</w:t>
            </w:r>
          </w:p>
        </w:tc>
        <w:tc>
          <w:tcPr>
            <w:tcW w:w="11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学历</w:t>
            </w:r>
          </w:p>
        </w:tc>
        <w:tc>
          <w:tcPr>
            <w:tcW w:w="1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3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 w14:paraId="6CD6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任职资格条件</w:t>
            </w:r>
          </w:p>
        </w:tc>
      </w:tr>
      <w:tr w14:paraId="104CDB5B">
        <w:trPr>
          <w:trHeight w:val="1000" w:hRule="atLeast"/>
        </w:trPr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E3B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人数</w:t>
            </w:r>
          </w:p>
        </w:tc>
        <w:tc>
          <w:tcPr>
            <w:tcW w:w="11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C7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4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77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1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E6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13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84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  <w:tr w14:paraId="7A768F94">
        <w:trPr>
          <w:trHeight w:val="10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办公室综合岗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汉语言文学、秘书学、管理学、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lang w:eastAsia="zh-CN" w:bidi="ar"/>
              </w:rPr>
              <w:t>新闻传播学类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2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1.负责公文起草、会议纪要、文件流转及交办的其他工作。</w:t>
            </w:r>
          </w:p>
          <w:p w14:paraId="614B4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2.负责新闻稿件撰写、新媒体运营、宣传策划等工作。</w:t>
            </w:r>
          </w:p>
          <w:p w14:paraId="4C6FE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3.负责党组织建设、党员教育管理、党建材料撰写、意识形态工作及群团活动、组织等工作。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1.熟悉行政事务运作流程；</w:t>
            </w:r>
          </w:p>
          <w:p w14:paraId="0385C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2.精通公文写作与档案管理，能独立起草重要文件、报告。</w:t>
            </w:r>
          </w:p>
        </w:tc>
      </w:tr>
      <w:tr w14:paraId="1358995F">
        <w:trPr>
          <w:trHeight w:val="10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D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1.负责合同审核、法律风险防控、涉法事务处理、普法宣传及诉讼代理。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E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398E54">
        <w:trPr>
          <w:trHeight w:val="10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会计岗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B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2A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6"/>
                <w:rFonts w:hint="eastAsia" w:ascii="方正仿宋_GB2312" w:hAnsi="方正仿宋_GB2312" w:eastAsia="方正仿宋_GB2312" w:cs="方正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负责账务核算、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财务报表编制、预算管理等工作。</w:t>
            </w:r>
          </w:p>
          <w:p w14:paraId="503F9E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6"/>
                <w:rFonts w:hint="eastAsia" w:ascii="方正仿宋_GB2312" w:hAnsi="方正仿宋_GB2312" w:eastAsia="方正仿宋_GB2312" w:cs="方正仿宋_GB2312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负责银行结算、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资金收付、票据管理及日记账登记核对等工作。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8F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6"/>
                <w:rFonts w:hint="default" w:ascii="方正仿宋_GB2312" w:hAnsi="方正仿宋_GB2312" w:eastAsia="方正仿宋_GB2312" w:cs="方正仿宋_GB2312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  <w:t>初级及以上会计从业资格证</w:t>
            </w:r>
          </w:p>
        </w:tc>
      </w:tr>
      <w:tr w14:paraId="18F06D58">
        <w:trPr>
          <w:trHeight w:val="1447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财务综合岗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4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会计学、财务管理、审计学、金融学、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lang w:eastAsia="zh-CN" w:bidi="ar"/>
              </w:rPr>
              <w:t>资产评估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1C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6"/>
                <w:rFonts w:hint="eastAsia" w:ascii="方正仿宋_GB2312" w:hAnsi="方正仿宋_GB2312" w:eastAsia="方正仿宋_GB2312" w:cs="方正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1.负责内部审计、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财务收支监督、内控流程评估及风险排查等工作。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20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6"/>
                <w:rFonts w:hint="eastAsia" w:ascii="方正仿宋_GB2312" w:hAnsi="方正仿宋_GB2312" w:eastAsia="方正仿宋_GB2312" w:cs="方正仿宋_GB2312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79791180">
        <w:trPr>
          <w:trHeight w:val="100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综合内勤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1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3D9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专职从事防火数据统计、防火公告与业务文书草拟、防火档案管理等工作。</w:t>
            </w:r>
          </w:p>
          <w:p w14:paraId="521466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负责战备训练计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划制定、训练组织实施、应急救援预案编制及队伍实战能力提升工作。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18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退伍军人及烈士子女优先</w:t>
            </w:r>
          </w:p>
        </w:tc>
      </w:tr>
    </w:tbl>
    <w:p w14:paraId="276B704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altName w:val="仿宋-简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-简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FC532"/>
    <w:multiLevelType w:val="singleLevel"/>
    <w:tmpl w:val="BBDFC5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1EE0EC3"/>
    <w:multiLevelType w:val="singleLevel"/>
    <w:tmpl w:val="61EE0E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BCC87"/>
    <w:rsid w:val="B7FBC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"/>
    <w:basedOn w:val="1"/>
    <w:qFormat/>
    <w:uiPriority w:val="0"/>
    <w:rPr>
      <w:rFonts w:ascii="宋体" w:hAnsi="宋体"/>
      <w:szCs w:val="21"/>
      <w:lang w:val="zh-CN" w:bidi="zh-CN"/>
    </w:rPr>
  </w:style>
  <w:style w:type="character" w:customStyle="1" w:styleId="6">
    <w:name w:val="font2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2026-06-24T20:01:00Z</dcterms:created>
  <dc:creator>trgl-</dc:creator>
  <cp:lastModifiedBy>trgl-</cp:lastModifiedBy>
  <dcterms:modified xsi:type="dcterms:W3CDTF">2026-06-24T20:02:46Z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9B258E1B7E0BC9D70CC73B6ABB85543D_41</vt:lpwstr>
  </property>
</Properties>
</file>