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1A9B">
      <w:pPr>
        <w:spacing w:before="111" w:line="380" w:lineRule="exact"/>
        <w:ind w:left="1987"/>
        <w:outlineLvl w:val="0"/>
        <w:rPr>
          <w:rFonts w:ascii="微软雅黑" w:hAnsi="微软雅黑" w:eastAsia="微软雅黑" w:cs="微软雅黑"/>
          <w:sz w:val="38"/>
          <w:szCs w:val="38"/>
        </w:rPr>
      </w:pPr>
      <w:r>
        <w:rPr>
          <w:rFonts w:hint="eastAsia" w:ascii="微软雅黑" w:hAnsi="微软雅黑" w:eastAsia="微软雅黑" w:cs="微软雅黑"/>
          <w:spacing w:val="-10"/>
          <w:w w:val="90"/>
          <w:position w:val="-2"/>
          <w:sz w:val="38"/>
          <w:szCs w:val="38"/>
          <w:lang w:eastAsia="zh-CN"/>
        </w:rPr>
        <w:t>新疆臻薏纺织</w:t>
      </w:r>
      <w:r>
        <w:rPr>
          <w:rFonts w:ascii="微软雅黑" w:hAnsi="微软雅黑" w:eastAsia="微软雅黑" w:cs="微软雅黑"/>
          <w:spacing w:val="-10"/>
          <w:w w:val="90"/>
          <w:position w:val="-2"/>
          <w:sz w:val="38"/>
          <w:szCs w:val="38"/>
        </w:rPr>
        <w:t>公开招</w:t>
      </w:r>
      <w:r>
        <w:rPr>
          <w:rFonts w:hint="eastAsia" w:ascii="微软雅黑" w:hAnsi="微软雅黑" w:eastAsia="微软雅黑" w:cs="微软雅黑"/>
          <w:spacing w:val="-10"/>
          <w:w w:val="90"/>
          <w:position w:val="-2"/>
          <w:sz w:val="38"/>
          <w:szCs w:val="38"/>
          <w:lang w:eastAsia="zh-CN"/>
        </w:rPr>
        <w:t>（</w:t>
      </w:r>
      <w:r>
        <w:rPr>
          <w:rFonts w:ascii="微软雅黑" w:hAnsi="微软雅黑" w:eastAsia="微软雅黑" w:cs="微软雅黑"/>
          <w:spacing w:val="-10"/>
          <w:w w:val="90"/>
          <w:position w:val="-2"/>
          <w:sz w:val="38"/>
          <w:szCs w:val="38"/>
        </w:rPr>
        <w:t>竞</w:t>
      </w:r>
      <w:r>
        <w:rPr>
          <w:rFonts w:hint="eastAsia" w:ascii="微软雅黑" w:hAnsi="微软雅黑" w:eastAsia="微软雅黑" w:cs="微软雅黑"/>
          <w:spacing w:val="-10"/>
          <w:w w:val="90"/>
          <w:position w:val="-2"/>
          <w:sz w:val="38"/>
          <w:szCs w:val="38"/>
          <w:lang w:eastAsia="zh-CN"/>
        </w:rPr>
        <w:t>）</w:t>
      </w:r>
      <w:r>
        <w:rPr>
          <w:rFonts w:ascii="微软雅黑" w:hAnsi="微软雅黑" w:eastAsia="微软雅黑" w:cs="微软雅黑"/>
          <w:spacing w:val="-10"/>
          <w:w w:val="90"/>
          <w:position w:val="-2"/>
          <w:sz w:val="38"/>
          <w:szCs w:val="38"/>
        </w:rPr>
        <w:t>聘职位及任职资格</w:t>
      </w:r>
    </w:p>
    <w:p w14:paraId="5737D7D0">
      <w:pPr>
        <w:spacing w:line="116" w:lineRule="exact"/>
      </w:pPr>
    </w:p>
    <w:tbl>
      <w:tblPr>
        <w:tblStyle w:val="5"/>
        <w:tblW w:w="968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81"/>
        <w:gridCol w:w="451"/>
        <w:gridCol w:w="510"/>
        <w:gridCol w:w="494"/>
        <w:gridCol w:w="4536"/>
        <w:gridCol w:w="2140"/>
      </w:tblGrid>
      <w:tr w14:paraId="4B3EA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71" w:type="dxa"/>
            <w:vAlign w:val="top"/>
          </w:tcPr>
          <w:p w14:paraId="656DCDE9">
            <w:pPr>
              <w:pStyle w:val="6"/>
              <w:spacing w:before="132" w:line="230" w:lineRule="auto"/>
              <w:ind w:left="151" w:right="73" w:hanging="5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部门/</w:t>
            </w:r>
            <w:r>
              <w:rPr>
                <w:b/>
                <w:bCs/>
                <w:spacing w:val="-6"/>
                <w:sz w:val="22"/>
                <w:szCs w:val="22"/>
              </w:rPr>
              <w:t>单位</w:t>
            </w:r>
          </w:p>
        </w:tc>
        <w:tc>
          <w:tcPr>
            <w:tcW w:w="881" w:type="dxa"/>
            <w:vAlign w:val="top"/>
          </w:tcPr>
          <w:p w14:paraId="5299D682">
            <w:pPr>
              <w:pStyle w:val="6"/>
              <w:spacing w:before="132" w:line="231" w:lineRule="auto"/>
              <w:ind w:left="196" w:right="180" w:firstLine="21"/>
              <w:rPr>
                <w:sz w:val="22"/>
                <w:szCs w:val="22"/>
              </w:rPr>
            </w:pPr>
            <w:r>
              <w:rPr>
                <w:b/>
                <w:bCs/>
                <w:spacing w:val="-18"/>
                <w:sz w:val="22"/>
                <w:szCs w:val="22"/>
              </w:rPr>
              <w:t>岗位</w:t>
            </w:r>
            <w:r>
              <w:rPr>
                <w:b/>
                <w:bCs/>
                <w:spacing w:val="-7"/>
                <w:sz w:val="22"/>
                <w:szCs w:val="22"/>
              </w:rPr>
              <w:t>名称</w:t>
            </w:r>
          </w:p>
        </w:tc>
        <w:tc>
          <w:tcPr>
            <w:tcW w:w="451" w:type="dxa"/>
            <w:vAlign w:val="top"/>
          </w:tcPr>
          <w:p w14:paraId="1F0DDA41">
            <w:pPr>
              <w:pStyle w:val="6"/>
              <w:spacing w:before="134" w:line="229" w:lineRule="auto"/>
              <w:ind w:left="120" w:right="105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人数</w:t>
            </w:r>
          </w:p>
        </w:tc>
        <w:tc>
          <w:tcPr>
            <w:tcW w:w="510" w:type="dxa"/>
            <w:vAlign w:val="top"/>
          </w:tcPr>
          <w:p w14:paraId="034000BA">
            <w:pPr>
              <w:pStyle w:val="6"/>
              <w:spacing w:before="270" w:line="219" w:lineRule="auto"/>
              <w:ind w:left="3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年龄</w:t>
            </w:r>
          </w:p>
        </w:tc>
        <w:tc>
          <w:tcPr>
            <w:tcW w:w="494" w:type="dxa"/>
            <w:vAlign w:val="top"/>
          </w:tcPr>
          <w:p w14:paraId="009AD232">
            <w:pPr>
              <w:pStyle w:val="6"/>
              <w:spacing w:before="132" w:line="231" w:lineRule="auto"/>
              <w:ind w:left="144" w:right="125" w:firstLine="1"/>
              <w:rPr>
                <w:sz w:val="22"/>
                <w:szCs w:val="22"/>
              </w:rPr>
            </w:pPr>
            <w:r>
              <w:rPr>
                <w:b/>
                <w:bCs/>
                <w:spacing w:val="-16"/>
                <w:sz w:val="22"/>
                <w:szCs w:val="22"/>
              </w:rPr>
              <w:t>学</w:t>
            </w:r>
            <w:r>
              <w:rPr>
                <w:b/>
                <w:bCs/>
                <w:spacing w:val="-14"/>
                <w:sz w:val="22"/>
                <w:szCs w:val="22"/>
              </w:rPr>
              <w:t>历</w:t>
            </w:r>
          </w:p>
        </w:tc>
        <w:tc>
          <w:tcPr>
            <w:tcW w:w="4536" w:type="dxa"/>
            <w:vAlign w:val="top"/>
          </w:tcPr>
          <w:p w14:paraId="31560BE6">
            <w:pPr>
              <w:pStyle w:val="6"/>
              <w:spacing w:before="270" w:line="220" w:lineRule="auto"/>
              <w:ind w:left="1678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岗位职责</w:t>
            </w:r>
          </w:p>
        </w:tc>
        <w:tc>
          <w:tcPr>
            <w:tcW w:w="2140" w:type="dxa"/>
            <w:vAlign w:val="top"/>
          </w:tcPr>
          <w:p w14:paraId="00830AEF">
            <w:pPr>
              <w:pStyle w:val="6"/>
              <w:spacing w:before="270" w:line="220" w:lineRule="auto"/>
              <w:ind w:left="922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其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8"/>
                <w:sz w:val="22"/>
                <w:szCs w:val="22"/>
              </w:rPr>
              <w:t>他</w:t>
            </w:r>
          </w:p>
        </w:tc>
      </w:tr>
      <w:tr w14:paraId="69287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671" w:type="dxa"/>
            <w:vAlign w:val="top"/>
          </w:tcPr>
          <w:p w14:paraId="391565B7">
            <w:pPr>
              <w:pStyle w:val="6"/>
              <w:spacing w:before="62" w:line="242" w:lineRule="auto"/>
              <w:ind w:left="174" w:right="51" w:hanging="93"/>
            </w:pPr>
          </w:p>
          <w:p w14:paraId="15FB4197">
            <w:pPr>
              <w:bidi w:val="0"/>
            </w:pPr>
          </w:p>
          <w:p w14:paraId="085BCC31">
            <w:pPr>
              <w:bidi w:val="0"/>
            </w:pPr>
          </w:p>
          <w:p w14:paraId="1CBC2F60">
            <w:pPr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专业技术人才</w:t>
            </w:r>
          </w:p>
        </w:tc>
        <w:tc>
          <w:tcPr>
            <w:tcW w:w="881" w:type="dxa"/>
            <w:vAlign w:val="top"/>
          </w:tcPr>
          <w:p w14:paraId="69613D78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13838A42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698B6028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7AE3F337">
            <w:pPr>
              <w:pStyle w:val="6"/>
              <w:spacing w:before="62" w:line="228" w:lineRule="auto"/>
              <w:ind w:left="121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工艺工程师</w:t>
            </w:r>
          </w:p>
        </w:tc>
        <w:tc>
          <w:tcPr>
            <w:tcW w:w="451" w:type="dxa"/>
            <w:vAlign w:val="top"/>
          </w:tcPr>
          <w:p w14:paraId="61D796D1">
            <w:pPr>
              <w:spacing w:line="284" w:lineRule="auto"/>
              <w:jc w:val="left"/>
              <w:rPr>
                <w:rFonts w:ascii="Arial"/>
                <w:sz w:val="21"/>
              </w:rPr>
            </w:pPr>
          </w:p>
          <w:p w14:paraId="145761C8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4726ECD5">
            <w:pPr>
              <w:spacing w:line="285" w:lineRule="auto"/>
              <w:jc w:val="left"/>
              <w:rPr>
                <w:rFonts w:ascii="Arial"/>
                <w:sz w:val="21"/>
              </w:rPr>
            </w:pPr>
          </w:p>
          <w:p w14:paraId="6EE07241">
            <w:pPr>
              <w:pStyle w:val="6"/>
              <w:spacing w:before="62" w:line="257" w:lineRule="exact"/>
              <w:ind w:left="192" w:leftChars="0"/>
              <w:jc w:val="left"/>
            </w:pPr>
            <w:r>
              <w:rPr>
                <w:position w:val="1"/>
              </w:rPr>
              <w:t>1</w:t>
            </w:r>
          </w:p>
        </w:tc>
        <w:tc>
          <w:tcPr>
            <w:tcW w:w="510" w:type="dxa"/>
            <w:vAlign w:val="top"/>
          </w:tcPr>
          <w:p w14:paraId="1FFAED4B">
            <w:pPr>
              <w:spacing w:line="294" w:lineRule="auto"/>
              <w:jc w:val="left"/>
              <w:rPr>
                <w:rFonts w:ascii="Arial"/>
                <w:sz w:val="21"/>
              </w:rPr>
            </w:pPr>
          </w:p>
          <w:p w14:paraId="09493E5D">
            <w:pPr>
              <w:spacing w:line="294" w:lineRule="auto"/>
              <w:jc w:val="left"/>
              <w:rPr>
                <w:rFonts w:ascii="Arial"/>
                <w:sz w:val="21"/>
              </w:rPr>
            </w:pPr>
          </w:p>
          <w:p w14:paraId="7BACA4C7">
            <w:pPr>
              <w:pStyle w:val="6"/>
              <w:spacing w:before="61" w:line="241" w:lineRule="auto"/>
              <w:ind w:left="67" w:leftChars="0" w:right="41" w:rightChars="0" w:hanging="7" w:firstLineChars="0"/>
              <w:jc w:val="left"/>
            </w:pPr>
            <w:r>
              <w:rPr>
                <w:rFonts w:hint="eastAsia"/>
                <w:spacing w:val="4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spacing w:val="4"/>
              </w:rPr>
              <w:t>周</w:t>
            </w:r>
            <w:r>
              <w:rPr>
                <w:spacing w:val="1"/>
              </w:rPr>
              <w:t>岁及以下</w:t>
            </w:r>
          </w:p>
        </w:tc>
        <w:tc>
          <w:tcPr>
            <w:tcW w:w="494" w:type="dxa"/>
            <w:vAlign w:val="top"/>
          </w:tcPr>
          <w:p w14:paraId="775760E9">
            <w:pPr>
              <w:spacing w:line="294" w:lineRule="auto"/>
              <w:jc w:val="left"/>
              <w:rPr>
                <w:rFonts w:ascii="Arial"/>
                <w:sz w:val="21"/>
              </w:rPr>
            </w:pPr>
          </w:p>
          <w:p w14:paraId="014622AF">
            <w:pPr>
              <w:spacing w:line="294" w:lineRule="auto"/>
              <w:jc w:val="left"/>
              <w:rPr>
                <w:rFonts w:ascii="Arial"/>
                <w:sz w:val="21"/>
              </w:rPr>
            </w:pPr>
          </w:p>
          <w:p w14:paraId="0BEDBF49">
            <w:pPr>
              <w:pStyle w:val="6"/>
              <w:spacing w:before="12" w:line="231" w:lineRule="auto"/>
              <w:ind w:left="54"/>
              <w:jc w:val="center"/>
            </w:pPr>
            <w:r>
              <w:rPr>
                <w:rFonts w:hint="eastAsia"/>
                <w:spacing w:val="4"/>
                <w:lang w:eastAsia="zh-CN"/>
              </w:rPr>
              <w:t>大专</w:t>
            </w:r>
            <w:r>
              <w:rPr>
                <w:spacing w:val="5"/>
              </w:rPr>
              <w:t>及以</w:t>
            </w:r>
          </w:p>
          <w:p w14:paraId="69888DA7">
            <w:pPr>
              <w:pStyle w:val="6"/>
              <w:spacing w:before="9" w:line="241" w:lineRule="auto"/>
              <w:ind w:left="154" w:leftChars="0"/>
              <w:jc w:val="left"/>
            </w:pPr>
            <w:r>
              <w:t>上</w:t>
            </w:r>
          </w:p>
        </w:tc>
        <w:tc>
          <w:tcPr>
            <w:tcW w:w="4536" w:type="dxa"/>
            <w:vAlign w:val="top"/>
          </w:tcPr>
          <w:p w14:paraId="1065621A">
            <w:pPr>
              <w:pStyle w:val="6"/>
              <w:spacing w:before="9" w:line="236" w:lineRule="auto"/>
              <w:ind w:left="35" w:right="152"/>
              <w:rPr>
                <w:rFonts w:hint="default" w:ascii="宋体" w:hAnsi="宋体" w:eastAsia="宋体" w:cs="宋体"/>
                <w:spacing w:val="7"/>
              </w:rPr>
            </w:pPr>
          </w:p>
          <w:p w14:paraId="2590EF73">
            <w:pPr>
              <w:pStyle w:val="6"/>
              <w:spacing w:before="9" w:line="236" w:lineRule="auto"/>
              <w:ind w:left="35" w:right="152"/>
              <w:rPr>
                <w:rFonts w:hint="default" w:ascii="宋体" w:hAnsi="宋体" w:eastAsia="宋体" w:cs="宋体"/>
                <w:spacing w:val="7"/>
              </w:rPr>
            </w:pPr>
            <w:r>
              <w:rPr>
                <w:rFonts w:hint="default" w:ascii="宋体" w:hAnsi="宋体" w:eastAsia="宋体" w:cs="宋体"/>
                <w:spacing w:val="7"/>
              </w:rPr>
              <w:t>1.</w:t>
            </w:r>
            <w:r>
              <w:rPr>
                <w:rFonts w:hint="default" w:ascii="宋体" w:hAnsi="宋体" w:eastAsia="宋体" w:cs="宋体"/>
                <w:spacing w:val="7"/>
                <w:lang w:val="en-US" w:eastAsia="zh-CN"/>
              </w:rPr>
              <w:t>主导制定锦纶纺</w:t>
            </w: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丝</w:t>
            </w:r>
            <w:r>
              <w:rPr>
                <w:rFonts w:hint="default" w:ascii="宋体" w:hAnsi="宋体" w:eastAsia="宋体" w:cs="宋体"/>
                <w:spacing w:val="7"/>
                <w:lang w:val="en-US" w:eastAsia="zh-CN"/>
              </w:rPr>
              <w:t>工艺标准，优化生产参数以提升质量</w:t>
            </w:r>
            <w:r>
              <w:rPr>
                <w:rFonts w:hint="default" w:ascii="宋体" w:hAnsi="宋体" w:eastAsia="宋体" w:cs="宋体"/>
                <w:spacing w:val="7"/>
              </w:rPr>
              <w:t>；</w:t>
            </w:r>
          </w:p>
          <w:p w14:paraId="4E35808D">
            <w:pPr>
              <w:pStyle w:val="6"/>
              <w:spacing w:before="9" w:line="236" w:lineRule="auto"/>
              <w:ind w:left="35" w:right="152"/>
              <w:rPr>
                <w:rFonts w:hint="default" w:ascii="宋体" w:hAnsi="宋体" w:eastAsia="宋体" w:cs="宋体"/>
                <w:spacing w:val="7"/>
              </w:rPr>
            </w:pPr>
            <w:r>
              <w:rPr>
                <w:rFonts w:hint="default" w:ascii="宋体" w:hAnsi="宋体" w:eastAsia="宋体" w:cs="宋体"/>
                <w:spacing w:val="7"/>
              </w:rPr>
              <w:t>2.</w:t>
            </w:r>
            <w:r>
              <w:rPr>
                <w:rFonts w:hint="default" w:ascii="宋体" w:hAnsi="宋体" w:eastAsia="宋体" w:cs="宋体"/>
                <w:spacing w:val="7"/>
                <w:lang w:val="en-US" w:eastAsia="zh-CN"/>
              </w:rPr>
              <w:t>解决生产技术难题，推动设备技术升级与新设备引进，提高生产效率并助力新产品开发</w:t>
            </w:r>
            <w:r>
              <w:rPr>
                <w:rFonts w:hint="default" w:ascii="宋体" w:hAnsi="宋体" w:eastAsia="宋体" w:cs="宋体"/>
                <w:spacing w:val="7"/>
              </w:rPr>
              <w:t>；</w:t>
            </w:r>
          </w:p>
          <w:p w14:paraId="6FE3892D">
            <w:pPr>
              <w:pStyle w:val="6"/>
              <w:spacing w:before="9" w:line="236" w:lineRule="auto"/>
              <w:ind w:left="35" w:right="152"/>
            </w:pPr>
            <w:r>
              <w:rPr>
                <w:rFonts w:hint="default" w:ascii="宋体" w:hAnsi="宋体" w:eastAsia="宋体" w:cs="宋体"/>
                <w:spacing w:val="7"/>
              </w:rPr>
              <w:t>3.</w:t>
            </w:r>
            <w:r>
              <w:rPr>
                <w:rFonts w:hint="default" w:ascii="宋体" w:hAnsi="宋体" w:eastAsia="宋体" w:cs="宋体"/>
                <w:spacing w:val="7"/>
                <w:lang w:val="en-US" w:eastAsia="zh-CN"/>
              </w:rPr>
              <w:t>配合厂长安排生产任务，落实成本控制计划；完善质量管控体系，把控产品质量标准</w:t>
            </w:r>
            <w:r>
              <w:rPr>
                <w:rFonts w:hint="default" w:ascii="宋体" w:hAnsi="宋体" w:eastAsia="宋体" w:cs="宋体"/>
                <w:spacing w:val="7"/>
              </w:rPr>
              <w:t>；</w:t>
            </w:r>
          </w:p>
        </w:tc>
        <w:tc>
          <w:tcPr>
            <w:tcW w:w="2140" w:type="dxa"/>
            <w:vAlign w:val="top"/>
          </w:tcPr>
          <w:p w14:paraId="434E02FF">
            <w:pPr>
              <w:pStyle w:val="6"/>
              <w:spacing w:before="9" w:line="236" w:lineRule="auto"/>
              <w:ind w:left="35" w:right="152" w:firstLine="408" w:firstLineChars="200"/>
              <w:rPr>
                <w:rFonts w:hint="default" w:ascii="宋体" w:hAnsi="宋体" w:eastAsia="宋体" w:cs="宋体"/>
                <w:spacing w:val="7"/>
                <w:lang w:val="en-US" w:eastAsia="zh-CN"/>
              </w:rPr>
            </w:pPr>
          </w:p>
          <w:p w14:paraId="4974DF44">
            <w:pPr>
              <w:pStyle w:val="6"/>
              <w:spacing w:before="9" w:line="236" w:lineRule="auto"/>
              <w:ind w:left="35" w:right="152" w:firstLine="408" w:firstLineChars="200"/>
              <w:rPr>
                <w:rFonts w:hint="default"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7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pacing w:val="7"/>
                <w:lang w:val="en-US" w:eastAsia="zh-CN"/>
              </w:rPr>
              <w:t>年以上总工程师或5年以上车间主任任职经验，熟悉锦纶长丝、锦纶包覆纱及锦纶加弹等行业业务，条件优秀者可适当放宽要求。</w:t>
            </w:r>
          </w:p>
        </w:tc>
      </w:tr>
      <w:tr w14:paraId="72108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671" w:type="dxa"/>
            <w:vMerge w:val="restart"/>
            <w:vAlign w:val="top"/>
          </w:tcPr>
          <w:p w14:paraId="6E32C2E1">
            <w:pPr>
              <w:spacing w:line="298" w:lineRule="auto"/>
              <w:rPr>
                <w:rFonts w:ascii="Arial"/>
                <w:sz w:val="21"/>
              </w:rPr>
            </w:pPr>
          </w:p>
          <w:p w14:paraId="25BFD62A">
            <w:pPr>
              <w:pStyle w:val="6"/>
              <w:spacing w:before="62" w:line="241" w:lineRule="auto"/>
              <w:ind w:left="174" w:right="51" w:hanging="101"/>
              <w:rPr>
                <w:rFonts w:hint="eastAsia"/>
                <w:spacing w:val="5"/>
                <w:lang w:eastAsia="zh-CN"/>
              </w:rPr>
            </w:pPr>
          </w:p>
          <w:p w14:paraId="2029957C">
            <w:pPr>
              <w:pStyle w:val="6"/>
              <w:spacing w:before="62" w:line="241" w:lineRule="auto"/>
              <w:ind w:left="174" w:right="51" w:hanging="101"/>
              <w:rPr>
                <w:rFonts w:hint="eastAsia"/>
                <w:spacing w:val="5"/>
                <w:lang w:eastAsia="zh-CN"/>
              </w:rPr>
            </w:pPr>
          </w:p>
          <w:p w14:paraId="405AFDA5">
            <w:pPr>
              <w:pStyle w:val="6"/>
              <w:spacing w:before="62" w:line="241" w:lineRule="auto"/>
              <w:ind w:left="174" w:right="51" w:hanging="101"/>
              <w:rPr>
                <w:rFonts w:hint="eastAsia"/>
                <w:spacing w:val="5"/>
                <w:lang w:eastAsia="zh-CN"/>
              </w:rPr>
            </w:pPr>
          </w:p>
          <w:p w14:paraId="1A38BB61">
            <w:pPr>
              <w:pStyle w:val="6"/>
              <w:spacing w:before="62" w:line="241" w:lineRule="auto"/>
              <w:ind w:left="174" w:right="51" w:hanging="101"/>
              <w:rPr>
                <w:rFonts w:hint="eastAsia"/>
                <w:spacing w:val="5"/>
                <w:lang w:eastAsia="zh-CN"/>
              </w:rPr>
            </w:pPr>
          </w:p>
          <w:p w14:paraId="0A1C1219">
            <w:pPr>
              <w:pStyle w:val="6"/>
              <w:spacing w:before="62" w:line="241" w:lineRule="auto"/>
              <w:ind w:left="174" w:right="51" w:hanging="101"/>
              <w:rPr>
                <w:rFonts w:hint="eastAsia"/>
                <w:spacing w:val="5"/>
                <w:lang w:eastAsia="zh-CN"/>
              </w:rPr>
            </w:pPr>
          </w:p>
          <w:p w14:paraId="49013EBC">
            <w:pPr>
              <w:spacing w:line="246" w:lineRule="auto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/>
                <w:spacing w:val="5"/>
                <w:lang w:val="en-US" w:eastAsia="zh-CN"/>
              </w:rPr>
              <w:t>财务管理部</w:t>
            </w:r>
          </w:p>
          <w:p w14:paraId="56D0911E">
            <w:pPr>
              <w:spacing w:line="246" w:lineRule="auto"/>
              <w:rPr>
                <w:rFonts w:ascii="Arial"/>
                <w:sz w:val="21"/>
              </w:rPr>
            </w:pPr>
          </w:p>
          <w:p w14:paraId="4A08DF98">
            <w:pPr>
              <w:pStyle w:val="6"/>
              <w:spacing w:before="62" w:line="241" w:lineRule="auto"/>
              <w:ind w:left="172" w:right="51" w:hanging="100"/>
            </w:pPr>
          </w:p>
          <w:p w14:paraId="3D06FBCF">
            <w:pPr>
              <w:pStyle w:val="6"/>
              <w:spacing w:before="62" w:line="241" w:lineRule="auto"/>
              <w:ind w:left="174" w:right="51" w:hanging="101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24B6BEB8">
            <w:pPr>
              <w:pStyle w:val="6"/>
              <w:spacing w:before="62" w:line="241" w:lineRule="auto"/>
              <w:ind w:left="174" w:right="51" w:hanging="101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3EED5CD6">
            <w:pPr>
              <w:pStyle w:val="6"/>
              <w:spacing w:before="62" w:line="241" w:lineRule="auto"/>
              <w:ind w:left="172" w:right="51" w:hanging="100"/>
              <w:jc w:val="center"/>
            </w:pPr>
          </w:p>
        </w:tc>
        <w:tc>
          <w:tcPr>
            <w:tcW w:w="881" w:type="dxa"/>
            <w:vAlign w:val="top"/>
          </w:tcPr>
          <w:p w14:paraId="4314AC0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16066AC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778F2EFC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678EBEE1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67F82C58">
            <w:pPr>
              <w:pStyle w:val="6"/>
              <w:spacing w:before="61" w:line="228" w:lineRule="auto"/>
              <w:ind w:left="219"/>
              <w:jc w:val="center"/>
            </w:pPr>
            <w:r>
              <w:rPr>
                <w:rFonts w:hint="eastAsia"/>
                <w:spacing w:val="3"/>
                <w:lang w:val="en-US" w:eastAsia="zh-CN"/>
              </w:rPr>
              <w:t>副</w:t>
            </w:r>
            <w:r>
              <w:rPr>
                <w:spacing w:val="3"/>
              </w:rPr>
              <w:t>部长</w:t>
            </w:r>
          </w:p>
        </w:tc>
        <w:tc>
          <w:tcPr>
            <w:tcW w:w="451" w:type="dxa"/>
            <w:vAlign w:val="top"/>
          </w:tcPr>
          <w:p w14:paraId="6919503F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0BF459B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0826AC8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7B7D23F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C3B5C4F">
            <w:pPr>
              <w:pStyle w:val="6"/>
              <w:spacing w:before="61" w:line="257" w:lineRule="exact"/>
              <w:ind w:left="192"/>
              <w:jc w:val="center"/>
            </w:pPr>
            <w:r>
              <w:rPr>
                <w:position w:val="1"/>
              </w:rPr>
              <w:t>1</w:t>
            </w:r>
          </w:p>
        </w:tc>
        <w:tc>
          <w:tcPr>
            <w:tcW w:w="510" w:type="dxa"/>
            <w:vAlign w:val="top"/>
          </w:tcPr>
          <w:p w14:paraId="6A502934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2E5B70AE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6DF1B296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7C649EA4">
            <w:pPr>
              <w:pStyle w:val="6"/>
              <w:spacing w:before="62" w:line="241" w:lineRule="auto"/>
              <w:ind w:left="67" w:right="41" w:hanging="7"/>
              <w:jc w:val="center"/>
            </w:pPr>
            <w:r>
              <w:rPr>
                <w:spacing w:val="4"/>
              </w:rPr>
              <w:t>4</w:t>
            </w:r>
            <w:r>
              <w:rPr>
                <w:rFonts w:hint="eastAsia"/>
                <w:spacing w:val="4"/>
                <w:lang w:val="en-US" w:eastAsia="zh-CN"/>
              </w:rPr>
              <w:t>0</w:t>
            </w:r>
            <w:r>
              <w:rPr>
                <w:spacing w:val="4"/>
              </w:rPr>
              <w:t>周</w:t>
            </w:r>
            <w:r>
              <w:rPr>
                <w:spacing w:val="1"/>
              </w:rPr>
              <w:t>岁及以下</w:t>
            </w:r>
          </w:p>
        </w:tc>
        <w:tc>
          <w:tcPr>
            <w:tcW w:w="494" w:type="dxa"/>
            <w:vAlign w:val="top"/>
          </w:tcPr>
          <w:p w14:paraId="59306B7D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30152584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3A492491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563C81E2">
            <w:pPr>
              <w:pStyle w:val="6"/>
              <w:spacing w:before="12" w:line="231" w:lineRule="auto"/>
              <w:ind w:left="54"/>
              <w:jc w:val="center"/>
            </w:pPr>
            <w:r>
              <w:rPr>
                <w:rFonts w:hint="eastAsia"/>
                <w:spacing w:val="4"/>
                <w:lang w:eastAsia="zh-CN"/>
              </w:rPr>
              <w:t>大专</w:t>
            </w:r>
            <w:r>
              <w:rPr>
                <w:spacing w:val="5"/>
              </w:rPr>
              <w:t>及以</w:t>
            </w:r>
          </w:p>
          <w:p w14:paraId="7476C1A2">
            <w:pPr>
              <w:pStyle w:val="6"/>
              <w:spacing w:before="9" w:line="241" w:lineRule="auto"/>
              <w:ind w:left="154"/>
              <w:jc w:val="center"/>
            </w:pPr>
            <w:r>
              <w:t>上</w:t>
            </w:r>
          </w:p>
        </w:tc>
        <w:tc>
          <w:tcPr>
            <w:tcW w:w="4536" w:type="dxa"/>
            <w:vAlign w:val="top"/>
          </w:tcPr>
          <w:p w14:paraId="368D7738">
            <w:pPr>
              <w:pStyle w:val="6"/>
              <w:spacing w:before="9" w:line="236" w:lineRule="auto"/>
              <w:ind w:left="35" w:right="152"/>
              <w:rPr>
                <w:rFonts w:hint="eastAsia"/>
                <w:spacing w:val="7"/>
              </w:rPr>
            </w:pPr>
          </w:p>
          <w:p w14:paraId="5DF7E5C6">
            <w:pPr>
              <w:pStyle w:val="6"/>
              <w:spacing w:before="9" w:line="236" w:lineRule="auto"/>
              <w:ind w:left="35" w:right="152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</w:rPr>
              <w:t>1.</w:t>
            </w:r>
            <w:r>
              <w:rPr>
                <w:rFonts w:hint="default"/>
                <w:spacing w:val="7"/>
                <w:lang w:val="en-US" w:eastAsia="zh-CN"/>
              </w:rPr>
              <w:t>负责制定公司财务管理制度与内控制度，规范会计核算工作</w:t>
            </w:r>
            <w:r>
              <w:rPr>
                <w:rFonts w:hint="eastAsia"/>
                <w:spacing w:val="7"/>
              </w:rPr>
              <w:t>；</w:t>
            </w:r>
          </w:p>
          <w:p w14:paraId="11373160">
            <w:pPr>
              <w:pStyle w:val="6"/>
              <w:spacing w:before="9" w:line="236" w:lineRule="auto"/>
              <w:ind w:left="35" w:right="152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</w:rPr>
              <w:t>2.</w:t>
            </w:r>
            <w:r>
              <w:rPr>
                <w:rFonts w:hint="default"/>
                <w:spacing w:val="7"/>
                <w:lang w:val="en-US" w:eastAsia="zh-CN"/>
              </w:rPr>
              <w:t>为公司重大投资、融资、并购等事项提供建议与决策支持</w:t>
            </w:r>
            <w:r>
              <w:rPr>
                <w:rFonts w:hint="eastAsia"/>
                <w:spacing w:val="7"/>
              </w:rPr>
              <w:t>；</w:t>
            </w:r>
          </w:p>
          <w:p w14:paraId="4854730D">
            <w:pPr>
              <w:pStyle w:val="6"/>
              <w:spacing w:before="9" w:line="236" w:lineRule="auto"/>
              <w:ind w:left="35" w:right="152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</w:rPr>
              <w:t>3.</w:t>
            </w:r>
            <w:r>
              <w:rPr>
                <w:rFonts w:hint="default"/>
                <w:spacing w:val="7"/>
                <w:lang w:val="en-US" w:eastAsia="zh-CN"/>
              </w:rPr>
              <w:t>承担固定资产投资统计直报、凭证编制、明细账及总账登记、税务申报、统计测算、资金筹措、财务快报等工作</w:t>
            </w:r>
            <w:r>
              <w:rPr>
                <w:rFonts w:hint="eastAsia"/>
                <w:spacing w:val="7"/>
              </w:rPr>
              <w:t>；</w:t>
            </w:r>
          </w:p>
          <w:p w14:paraId="16F3F868">
            <w:pPr>
              <w:pStyle w:val="6"/>
              <w:spacing w:before="9" w:line="236" w:lineRule="auto"/>
              <w:ind w:left="35" w:right="152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</w:rPr>
              <w:t>4.</w:t>
            </w:r>
            <w:r>
              <w:rPr>
                <w:rFonts w:hint="default"/>
                <w:spacing w:val="7"/>
                <w:lang w:val="en-US" w:eastAsia="zh-CN"/>
              </w:rPr>
              <w:t>监督审核资金计划及执行情况</w:t>
            </w:r>
            <w:r>
              <w:rPr>
                <w:rFonts w:hint="eastAsia"/>
                <w:spacing w:val="7"/>
              </w:rPr>
              <w:t>；</w:t>
            </w:r>
          </w:p>
          <w:p w14:paraId="7458B6D6">
            <w:pPr>
              <w:pStyle w:val="6"/>
              <w:spacing w:before="9" w:line="236" w:lineRule="auto"/>
              <w:ind w:left="35" w:right="152"/>
            </w:pPr>
            <w:r>
              <w:rPr>
                <w:rFonts w:hint="eastAsia"/>
                <w:spacing w:val="7"/>
                <w:lang w:val="en-US" w:eastAsia="zh-CN"/>
              </w:rPr>
              <w:t>5</w:t>
            </w:r>
            <w:r>
              <w:rPr>
                <w:rFonts w:hint="eastAsia"/>
                <w:spacing w:val="7"/>
              </w:rPr>
              <w:t>.完成公司领导交办的其他工作任务。</w:t>
            </w:r>
          </w:p>
        </w:tc>
        <w:tc>
          <w:tcPr>
            <w:tcW w:w="2140" w:type="dxa"/>
            <w:vAlign w:val="top"/>
          </w:tcPr>
          <w:p w14:paraId="012B6C25">
            <w:pPr>
              <w:pStyle w:val="6"/>
              <w:spacing w:before="1" w:line="241" w:lineRule="auto"/>
              <w:ind w:left="46" w:right="57" w:firstLine="1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zh-CN" w:bidi="ar-SA"/>
              </w:rPr>
            </w:pPr>
          </w:p>
          <w:p w14:paraId="182E4B36">
            <w:pPr>
              <w:pStyle w:val="6"/>
              <w:spacing w:before="1" w:line="241" w:lineRule="auto"/>
              <w:ind w:left="46" w:right="57" w:firstLine="404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6"/>
                <w:lang w:val="en-US" w:eastAsia="zh-CN"/>
              </w:rPr>
              <w:t>财会类专业，具备3年以上国有企业财务相关工作经验，持有中级会计师及以上职称，熟悉国家会计准则及财务、税务等政策法规；熟练掌握财务软件操作、账务处理及税务申报业务；中共党员优先，条件优秀者可适当放宽要求。</w:t>
            </w:r>
          </w:p>
        </w:tc>
      </w:tr>
      <w:tr w14:paraId="7A65E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71" w:type="dxa"/>
            <w:vMerge w:val="continue"/>
            <w:vAlign w:val="top"/>
          </w:tcPr>
          <w:p w14:paraId="692D3211">
            <w:pPr>
              <w:pStyle w:val="6"/>
              <w:spacing w:before="62" w:line="241" w:lineRule="auto"/>
              <w:ind w:left="172" w:right="51" w:hanging="100"/>
              <w:jc w:val="center"/>
            </w:pPr>
          </w:p>
        </w:tc>
        <w:tc>
          <w:tcPr>
            <w:tcW w:w="881" w:type="dxa"/>
            <w:vAlign w:val="top"/>
          </w:tcPr>
          <w:p w14:paraId="2BA6B4D3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4A58DB60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1971EDE1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库管班长</w:t>
            </w:r>
          </w:p>
        </w:tc>
        <w:tc>
          <w:tcPr>
            <w:tcW w:w="451" w:type="dxa"/>
            <w:vAlign w:val="top"/>
          </w:tcPr>
          <w:p w14:paraId="790F7F46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4B7680BD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46A7346F">
            <w:pPr>
              <w:pStyle w:val="6"/>
              <w:spacing w:before="62" w:line="257" w:lineRule="exact"/>
              <w:ind w:left="192"/>
              <w:jc w:val="center"/>
              <w:rPr>
                <w:rFonts w:hint="eastAsia" w:eastAsia="宋体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510" w:type="dxa"/>
            <w:vAlign w:val="top"/>
          </w:tcPr>
          <w:p w14:paraId="1E89C8FF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1A29E84A">
            <w:pPr>
              <w:pStyle w:val="6"/>
              <w:spacing w:before="61" w:line="241" w:lineRule="auto"/>
              <w:ind w:right="41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05098C04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40</w:t>
            </w:r>
            <w:r>
              <w:rPr>
                <w:spacing w:val="2"/>
              </w:rPr>
              <w:t>周</w:t>
            </w:r>
            <w:r>
              <w:rPr>
                <w:spacing w:val="1"/>
              </w:rPr>
              <w:t>岁及以下</w:t>
            </w:r>
          </w:p>
        </w:tc>
        <w:tc>
          <w:tcPr>
            <w:tcW w:w="494" w:type="dxa"/>
            <w:vAlign w:val="top"/>
          </w:tcPr>
          <w:p w14:paraId="67C6862E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701AABCC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076BA75D">
            <w:pPr>
              <w:pStyle w:val="6"/>
              <w:spacing w:before="62" w:line="227" w:lineRule="auto"/>
              <w:ind w:left="5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大专</w:t>
            </w:r>
          </w:p>
          <w:p w14:paraId="32DA6E69">
            <w:pPr>
              <w:pStyle w:val="6"/>
              <w:spacing w:before="12" w:line="231" w:lineRule="auto"/>
              <w:ind w:left="54"/>
              <w:jc w:val="center"/>
            </w:pPr>
            <w:r>
              <w:rPr>
                <w:spacing w:val="5"/>
              </w:rPr>
              <w:t>及以</w:t>
            </w:r>
          </w:p>
          <w:p w14:paraId="05A5E359">
            <w:pPr>
              <w:pStyle w:val="6"/>
              <w:spacing w:before="9" w:line="241" w:lineRule="auto"/>
              <w:ind w:left="154"/>
              <w:jc w:val="center"/>
            </w:pPr>
            <w:r>
              <w:t>上</w:t>
            </w:r>
          </w:p>
        </w:tc>
        <w:tc>
          <w:tcPr>
            <w:tcW w:w="4536" w:type="dxa"/>
            <w:vAlign w:val="top"/>
          </w:tcPr>
          <w:p w14:paraId="3CD57355">
            <w:pPr>
              <w:pStyle w:val="6"/>
              <w:spacing w:before="9" w:line="236" w:lineRule="auto"/>
              <w:ind w:left="35" w:right="152"/>
              <w:rPr>
                <w:rFonts w:hint="default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1.</w:t>
            </w:r>
            <w:r>
              <w:rPr>
                <w:rFonts w:hint="default"/>
                <w:spacing w:val="7"/>
                <w:lang w:val="en-US" w:eastAsia="zh-CN"/>
              </w:rPr>
              <w:t>全面负责厂区原料库、半成品库、成品库、辅料库、备件库等仓库的日常管理</w:t>
            </w:r>
            <w:r>
              <w:rPr>
                <w:rFonts w:hint="eastAsia"/>
                <w:spacing w:val="7"/>
                <w:lang w:val="en-US" w:eastAsia="zh-CN"/>
              </w:rPr>
              <w:t>；</w:t>
            </w:r>
          </w:p>
          <w:p w14:paraId="75400A8B">
            <w:pPr>
              <w:pStyle w:val="6"/>
              <w:spacing w:before="9" w:line="236" w:lineRule="auto"/>
              <w:ind w:left="35" w:right="152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  <w:lang w:val="en-US" w:eastAsia="zh-CN"/>
              </w:rPr>
              <w:t>2.</w:t>
            </w:r>
            <w:r>
              <w:rPr>
                <w:rFonts w:hint="default"/>
                <w:spacing w:val="7"/>
                <w:lang w:val="en-US" w:eastAsia="zh-CN"/>
              </w:rPr>
              <w:t>制定并完善仓库管理制度，监督仓库“5S”现场管理；</w:t>
            </w:r>
          </w:p>
          <w:p w14:paraId="2751B38C">
            <w:pPr>
              <w:pStyle w:val="6"/>
              <w:spacing w:before="9" w:line="236" w:lineRule="auto"/>
              <w:ind w:left="35" w:right="152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  <w:lang w:val="en-US" w:eastAsia="zh-CN"/>
              </w:rPr>
              <w:t>3.</w:t>
            </w:r>
            <w:r>
              <w:rPr>
                <w:rFonts w:hint="default"/>
                <w:spacing w:val="7"/>
                <w:lang w:val="en-US" w:eastAsia="zh-CN"/>
              </w:rPr>
              <w:t>负责物资出入库与账务管理、库存控制与成本管理、质量管理与安全防护；</w:t>
            </w:r>
          </w:p>
          <w:p w14:paraId="4B851F12">
            <w:pPr>
              <w:pStyle w:val="6"/>
              <w:spacing w:before="9" w:line="236" w:lineRule="auto"/>
              <w:ind w:left="35" w:right="152"/>
            </w:pPr>
            <w:r>
              <w:rPr>
                <w:rFonts w:hint="eastAsia"/>
                <w:spacing w:val="7"/>
                <w:lang w:val="en-US" w:eastAsia="zh-CN"/>
              </w:rPr>
              <w:t>4.</w:t>
            </w:r>
            <w:r>
              <w:rPr>
                <w:rFonts w:hint="default"/>
                <w:spacing w:val="7"/>
                <w:lang w:val="en-US" w:eastAsia="zh-CN"/>
              </w:rPr>
              <w:t>开展团队管理及跨部门协作</w:t>
            </w:r>
            <w:r>
              <w:rPr>
                <w:rFonts w:hint="eastAsia"/>
                <w:spacing w:val="7"/>
                <w:lang w:val="en-US" w:eastAsia="zh-CN"/>
              </w:rPr>
              <w:t>。</w:t>
            </w:r>
          </w:p>
        </w:tc>
        <w:tc>
          <w:tcPr>
            <w:tcW w:w="2140" w:type="dxa"/>
            <w:vAlign w:val="top"/>
          </w:tcPr>
          <w:p w14:paraId="0110F964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/>
                <w:spacing w:val="8"/>
                <w:lang w:val="en-US" w:eastAsia="zh-CN"/>
              </w:rPr>
            </w:pPr>
          </w:p>
          <w:p w14:paraId="4E5B17DB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spacing w:val="6"/>
              </w:rPr>
            </w:pPr>
            <w:r>
              <w:rPr>
                <w:rFonts w:hint="default"/>
                <w:spacing w:val="8"/>
                <w:lang w:val="en-US" w:eastAsia="zh-CN"/>
              </w:rPr>
              <w:t>物流管理、仓储管理、供应链管理、财务管理等相关专业优先，条件优秀者可适当放宽要求。</w:t>
            </w:r>
          </w:p>
        </w:tc>
      </w:tr>
      <w:tr w14:paraId="6BDE0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71" w:type="dxa"/>
            <w:vMerge w:val="restart"/>
            <w:vAlign w:val="top"/>
          </w:tcPr>
          <w:p w14:paraId="560EB4BF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/>
                <w:lang w:eastAsia="zh-CN"/>
              </w:rPr>
            </w:pPr>
          </w:p>
          <w:p w14:paraId="103FF9C3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/>
                <w:lang w:eastAsia="zh-CN"/>
              </w:rPr>
            </w:pPr>
          </w:p>
          <w:p w14:paraId="6A7D68F9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/>
                <w:lang w:eastAsia="zh-CN"/>
              </w:rPr>
            </w:pPr>
          </w:p>
          <w:p w14:paraId="3A4A5AA3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/>
                <w:lang w:eastAsia="zh-CN"/>
              </w:rPr>
            </w:pPr>
          </w:p>
          <w:p w14:paraId="11DF13EE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/>
                <w:lang w:eastAsia="zh-CN"/>
              </w:rPr>
            </w:pPr>
          </w:p>
          <w:p w14:paraId="319CD31E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/>
                <w:lang w:eastAsia="zh-CN"/>
              </w:rPr>
            </w:pPr>
          </w:p>
          <w:p w14:paraId="1B54C503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/>
                <w:lang w:eastAsia="zh-CN"/>
              </w:rPr>
            </w:pPr>
          </w:p>
          <w:p w14:paraId="5622699D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安全生产部</w:t>
            </w:r>
          </w:p>
        </w:tc>
        <w:tc>
          <w:tcPr>
            <w:tcW w:w="881" w:type="dxa"/>
            <w:vAlign w:val="top"/>
          </w:tcPr>
          <w:p w14:paraId="5AE02305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val="en-US" w:eastAsia="zh-CN"/>
              </w:rPr>
            </w:pPr>
          </w:p>
          <w:p w14:paraId="15587EA2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val="en-US" w:eastAsia="zh-CN"/>
              </w:rPr>
            </w:pPr>
          </w:p>
          <w:p w14:paraId="50F73593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val="en-US" w:eastAsia="zh-CN"/>
              </w:rPr>
            </w:pPr>
          </w:p>
          <w:p w14:paraId="08A99117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val="en-US" w:eastAsia="zh-CN"/>
              </w:rPr>
            </w:pPr>
          </w:p>
          <w:p w14:paraId="1BC5373F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职员</w:t>
            </w:r>
          </w:p>
        </w:tc>
        <w:tc>
          <w:tcPr>
            <w:tcW w:w="451" w:type="dxa"/>
            <w:vAlign w:val="top"/>
          </w:tcPr>
          <w:p w14:paraId="528AE024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713076D3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42BD0805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0EB374E6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6CF1489D">
            <w:pPr>
              <w:pStyle w:val="6"/>
              <w:spacing w:before="62" w:line="257" w:lineRule="exact"/>
              <w:ind w:left="192"/>
              <w:jc w:val="center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510" w:type="dxa"/>
            <w:vAlign w:val="top"/>
          </w:tcPr>
          <w:p w14:paraId="1C91093F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73F683F3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256936C3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3690DEA6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0D64FA68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35</w:t>
            </w:r>
            <w:r>
              <w:rPr>
                <w:spacing w:val="2"/>
              </w:rPr>
              <w:t>周</w:t>
            </w:r>
            <w:r>
              <w:rPr>
                <w:spacing w:val="1"/>
              </w:rPr>
              <w:t>岁及以下</w:t>
            </w:r>
          </w:p>
        </w:tc>
        <w:tc>
          <w:tcPr>
            <w:tcW w:w="494" w:type="dxa"/>
            <w:vAlign w:val="top"/>
          </w:tcPr>
          <w:p w14:paraId="6E1C88F3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44788F89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1D4A1F4E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288A0543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123637B7">
            <w:pPr>
              <w:pStyle w:val="6"/>
              <w:spacing w:before="62" w:line="227" w:lineRule="auto"/>
              <w:ind w:left="5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大专</w:t>
            </w:r>
          </w:p>
          <w:p w14:paraId="554984D3">
            <w:pPr>
              <w:pStyle w:val="6"/>
              <w:spacing w:before="12" w:line="231" w:lineRule="auto"/>
              <w:ind w:left="54"/>
              <w:jc w:val="center"/>
            </w:pPr>
            <w:r>
              <w:rPr>
                <w:spacing w:val="5"/>
              </w:rPr>
              <w:t>及以</w:t>
            </w:r>
          </w:p>
          <w:p w14:paraId="5136FE20">
            <w:pPr>
              <w:pStyle w:val="6"/>
              <w:spacing w:before="9" w:line="241" w:lineRule="auto"/>
              <w:ind w:left="154"/>
              <w:jc w:val="center"/>
            </w:pPr>
            <w:r>
              <w:t>上</w:t>
            </w:r>
          </w:p>
        </w:tc>
        <w:tc>
          <w:tcPr>
            <w:tcW w:w="4536" w:type="dxa"/>
            <w:vAlign w:val="top"/>
          </w:tcPr>
          <w:p w14:paraId="4D565E43">
            <w:pPr>
              <w:pStyle w:val="6"/>
              <w:numPr>
                <w:ilvl w:val="0"/>
                <w:numId w:val="1"/>
              </w:numPr>
              <w:spacing w:before="62" w:line="241" w:lineRule="auto"/>
              <w:ind w:right="57"/>
              <w:jc w:val="both"/>
              <w:rPr>
                <w:rFonts w:hint="default"/>
                <w:spacing w:val="7"/>
                <w:lang w:val="en-US" w:eastAsia="zh-CN"/>
              </w:rPr>
            </w:pPr>
            <w:r>
              <w:rPr>
                <w:rFonts w:hint="default"/>
                <w:spacing w:val="7"/>
                <w:lang w:val="en-US" w:eastAsia="zh-CN"/>
              </w:rPr>
              <w:t>负责安全制度、应急预案、设备台账及员工培训档案的分类归档；</w:t>
            </w:r>
          </w:p>
          <w:p w14:paraId="528344D6">
            <w:pPr>
              <w:pStyle w:val="6"/>
              <w:numPr>
                <w:ilvl w:val="0"/>
                <w:numId w:val="1"/>
              </w:numPr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rFonts w:hint="default"/>
                <w:spacing w:val="7"/>
                <w:lang w:val="en-US" w:eastAsia="zh-CN"/>
              </w:rPr>
              <w:t>管理特种作业人员证件，确保持续有效；</w:t>
            </w:r>
          </w:p>
          <w:p w14:paraId="16C67CC9">
            <w:pPr>
              <w:pStyle w:val="6"/>
              <w:numPr>
                <w:ilvl w:val="0"/>
                <w:numId w:val="1"/>
              </w:numPr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rFonts w:hint="default"/>
                <w:spacing w:val="7"/>
                <w:lang w:val="en-US" w:eastAsia="zh-CN"/>
              </w:rPr>
              <w:t>组织安全会议，汇总隐患整改单并督促闭环；</w:t>
            </w:r>
          </w:p>
          <w:p w14:paraId="0F9C8477">
            <w:pPr>
              <w:pStyle w:val="6"/>
              <w:numPr>
                <w:ilvl w:val="0"/>
                <w:numId w:val="1"/>
              </w:numPr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rFonts w:hint="default"/>
                <w:spacing w:val="7"/>
                <w:lang w:val="en-US" w:eastAsia="zh-CN"/>
              </w:rPr>
              <w:t>整理安全巡检、设备维保及危险作业审批单据；</w:t>
            </w:r>
          </w:p>
          <w:p w14:paraId="06B0DF97">
            <w:pPr>
              <w:pStyle w:val="6"/>
              <w:numPr>
                <w:ilvl w:val="0"/>
                <w:numId w:val="1"/>
              </w:numPr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rFonts w:hint="default"/>
                <w:spacing w:val="7"/>
                <w:lang w:val="en-US" w:eastAsia="zh-CN"/>
              </w:rPr>
              <w:t>开展数据统计与报送工作；负责劳保及应急物资管理；</w:t>
            </w:r>
          </w:p>
          <w:p w14:paraId="59E3B76A">
            <w:pPr>
              <w:pStyle w:val="6"/>
              <w:numPr>
                <w:ilvl w:val="0"/>
                <w:numId w:val="1"/>
              </w:numPr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rFonts w:hint="default"/>
                <w:spacing w:val="7"/>
                <w:lang w:val="en-US" w:eastAsia="zh-CN"/>
              </w:rPr>
              <w:t>协调内外部门落实安全要求、传达相关通知</w:t>
            </w:r>
            <w:r>
              <w:rPr>
                <w:rFonts w:hint="eastAsia"/>
                <w:spacing w:val="7"/>
                <w:lang w:val="en-US" w:eastAsia="zh-CN"/>
              </w:rPr>
              <w:t>。</w:t>
            </w:r>
          </w:p>
        </w:tc>
        <w:tc>
          <w:tcPr>
            <w:tcW w:w="2140" w:type="dxa"/>
            <w:vAlign w:val="top"/>
          </w:tcPr>
          <w:p w14:paraId="515576C2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/>
                <w:spacing w:val="8"/>
                <w:lang w:val="en-US" w:eastAsia="zh-CN"/>
              </w:rPr>
            </w:pPr>
          </w:p>
          <w:p w14:paraId="22EC086B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/>
                <w:spacing w:val="8"/>
                <w:lang w:val="en-US" w:eastAsia="zh-CN"/>
              </w:rPr>
            </w:pPr>
          </w:p>
          <w:p w14:paraId="2AA25EF3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/>
                <w:spacing w:val="8"/>
                <w:lang w:val="en-US" w:eastAsia="zh-CN"/>
              </w:rPr>
            </w:pPr>
          </w:p>
          <w:p w14:paraId="32441683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default"/>
                <w:spacing w:val="8"/>
                <w:lang w:val="en-US" w:eastAsia="zh-CN"/>
              </w:rPr>
              <w:t>安全工程、行政管理等相关专业优先，特别优秀者可适当放宽要求。</w:t>
            </w:r>
          </w:p>
        </w:tc>
      </w:tr>
      <w:tr w14:paraId="392B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71" w:type="dxa"/>
            <w:vMerge w:val="continue"/>
            <w:vAlign w:val="top"/>
          </w:tcPr>
          <w:p w14:paraId="7D3EF970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1" w:type="dxa"/>
            <w:vAlign w:val="top"/>
          </w:tcPr>
          <w:p w14:paraId="3BD5A184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3FAE9B69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79B4374E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消防操作员</w:t>
            </w:r>
          </w:p>
        </w:tc>
        <w:tc>
          <w:tcPr>
            <w:tcW w:w="451" w:type="dxa"/>
            <w:vAlign w:val="top"/>
          </w:tcPr>
          <w:p w14:paraId="2AF31DE3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6DFA3832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0BB1C223">
            <w:pPr>
              <w:pStyle w:val="6"/>
              <w:spacing w:before="62" w:line="257" w:lineRule="exact"/>
              <w:ind w:left="192"/>
              <w:jc w:val="center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510" w:type="dxa"/>
            <w:vAlign w:val="top"/>
          </w:tcPr>
          <w:p w14:paraId="79086EE9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526471A6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2175E84D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40</w:t>
            </w:r>
            <w:r>
              <w:rPr>
                <w:spacing w:val="2"/>
              </w:rPr>
              <w:t>周</w:t>
            </w:r>
            <w:r>
              <w:rPr>
                <w:spacing w:val="1"/>
              </w:rPr>
              <w:t>岁及以下</w:t>
            </w:r>
          </w:p>
        </w:tc>
        <w:tc>
          <w:tcPr>
            <w:tcW w:w="494" w:type="dxa"/>
            <w:vAlign w:val="top"/>
          </w:tcPr>
          <w:p w14:paraId="64B72D87">
            <w:pPr>
              <w:pStyle w:val="6"/>
              <w:spacing w:before="62" w:line="227" w:lineRule="auto"/>
              <w:jc w:val="both"/>
              <w:rPr>
                <w:rFonts w:hint="eastAsia"/>
                <w:spacing w:val="4"/>
                <w:lang w:eastAsia="zh-CN"/>
              </w:rPr>
            </w:pPr>
          </w:p>
          <w:p w14:paraId="247C4E5F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3BF52A9D">
            <w:pPr>
              <w:pStyle w:val="6"/>
              <w:spacing w:before="62" w:line="227" w:lineRule="auto"/>
              <w:ind w:left="5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大专</w:t>
            </w:r>
          </w:p>
          <w:p w14:paraId="274838CC">
            <w:pPr>
              <w:pStyle w:val="6"/>
              <w:spacing w:before="12" w:line="231" w:lineRule="auto"/>
              <w:ind w:left="54"/>
              <w:jc w:val="center"/>
            </w:pPr>
            <w:r>
              <w:rPr>
                <w:spacing w:val="5"/>
              </w:rPr>
              <w:t>及以</w:t>
            </w:r>
          </w:p>
          <w:p w14:paraId="3EA98D09">
            <w:pPr>
              <w:pStyle w:val="6"/>
              <w:spacing w:before="9" w:line="241" w:lineRule="auto"/>
              <w:ind w:left="154"/>
              <w:jc w:val="center"/>
            </w:pPr>
            <w:r>
              <w:t>上</w:t>
            </w:r>
          </w:p>
        </w:tc>
        <w:tc>
          <w:tcPr>
            <w:tcW w:w="4536" w:type="dxa"/>
            <w:vAlign w:val="top"/>
          </w:tcPr>
          <w:p w14:paraId="4A178481">
            <w:pPr>
              <w:pStyle w:val="6"/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spacing w:val="7"/>
              </w:rPr>
              <w:t>1.</w:t>
            </w:r>
            <w:r>
              <w:rPr>
                <w:rFonts w:hint="default"/>
                <w:spacing w:val="8"/>
                <w:lang w:val="en-US" w:eastAsia="zh-CN"/>
              </w:rPr>
              <w:t>24小时轮班值守消防控制室，严密监控火灾自动报警、联动控制等设备，确保无漏报、误报；</w:t>
            </w:r>
          </w:p>
          <w:p w14:paraId="4832E219">
            <w:pPr>
              <w:pStyle w:val="6"/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spacing w:val="8"/>
              </w:rPr>
              <w:t>2.</w:t>
            </w:r>
            <w:r>
              <w:rPr>
                <w:rFonts w:hint="default"/>
                <w:spacing w:val="8"/>
                <w:lang w:val="en-US" w:eastAsia="zh-CN"/>
              </w:rPr>
              <w:t>按规定详细记录相关情况，严禁无关人员进入；</w:t>
            </w:r>
          </w:p>
          <w:p w14:paraId="587293AF">
            <w:pPr>
              <w:pStyle w:val="6"/>
              <w:spacing w:before="62" w:line="241" w:lineRule="auto"/>
              <w:ind w:right="57"/>
              <w:jc w:val="both"/>
              <w:rPr>
                <w:spacing w:val="8"/>
              </w:rPr>
            </w:pPr>
            <w:r>
              <w:rPr>
                <w:spacing w:val="8"/>
              </w:rPr>
              <w:t>3.</w:t>
            </w:r>
            <w:r>
              <w:rPr>
                <w:rFonts w:hint="default"/>
                <w:spacing w:val="8"/>
                <w:lang w:val="en-US" w:eastAsia="zh-CN"/>
              </w:rPr>
              <w:t>熟练操作火灾报警、自动灭火、防排烟等消防设施，定期巡检并记录运行状态；</w:t>
            </w:r>
          </w:p>
          <w:p w14:paraId="46D1B285">
            <w:pPr>
              <w:pStyle w:val="6"/>
              <w:spacing w:before="62" w:line="241" w:lineRule="auto"/>
              <w:ind w:right="57"/>
              <w:jc w:val="both"/>
              <w:rPr>
                <w:rFonts w:hint="default" w:ascii="宋体" w:hAnsi="宋体" w:eastAsia="宋体" w:cs="宋体"/>
                <w:spacing w:val="7"/>
                <w:lang w:val="en-US" w:eastAsia="zh-CN"/>
              </w:rPr>
            </w:pPr>
            <w:r>
              <w:rPr>
                <w:spacing w:val="8"/>
              </w:rPr>
              <w:t>4.</w:t>
            </w:r>
            <w:r>
              <w:rPr>
                <w:rFonts w:hint="default"/>
                <w:spacing w:val="8"/>
                <w:lang w:val="en-US" w:eastAsia="zh-CN"/>
              </w:rPr>
              <w:t>及时处理设备故障并配合维保工作</w:t>
            </w:r>
            <w:r>
              <w:rPr>
                <w:spacing w:val="8"/>
              </w:rPr>
              <w:t>。</w:t>
            </w:r>
          </w:p>
        </w:tc>
        <w:tc>
          <w:tcPr>
            <w:tcW w:w="2140" w:type="dxa"/>
            <w:vAlign w:val="top"/>
          </w:tcPr>
          <w:p w14:paraId="6E8859C0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eastAsia"/>
                <w:spacing w:val="8"/>
                <w:lang w:val="en-US" w:eastAsia="zh-CN"/>
              </w:rPr>
            </w:pPr>
          </w:p>
          <w:p w14:paraId="6A546B35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eastAsia"/>
                <w:spacing w:val="8"/>
                <w:lang w:val="en-US" w:eastAsia="zh-CN"/>
              </w:rPr>
            </w:pPr>
          </w:p>
          <w:p w14:paraId="01FF61D1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持有消防操作证，</w:t>
            </w:r>
            <w:r>
              <w:rPr>
                <w:rFonts w:hint="default"/>
                <w:spacing w:val="8"/>
                <w:lang w:val="en-US" w:eastAsia="zh-CN"/>
              </w:rPr>
              <w:t>退伍军人、中共党员优先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3A25E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71" w:type="dxa"/>
            <w:vMerge w:val="continue"/>
            <w:vAlign w:val="top"/>
          </w:tcPr>
          <w:p w14:paraId="40963B06">
            <w:pPr>
              <w:pStyle w:val="6"/>
              <w:spacing w:before="62" w:line="241" w:lineRule="auto"/>
              <w:ind w:left="172" w:right="51" w:hanging="10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1" w:type="dxa"/>
            <w:vAlign w:val="top"/>
          </w:tcPr>
          <w:p w14:paraId="4410F1E1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6B601D37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eastAsia="zh-CN"/>
              </w:rPr>
            </w:pPr>
          </w:p>
          <w:p w14:paraId="0E49AC0D">
            <w:pPr>
              <w:pStyle w:val="6"/>
              <w:spacing w:before="62" w:line="242" w:lineRule="auto"/>
              <w:ind w:left="215" w:right="102" w:hanging="96"/>
              <w:jc w:val="center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保安队长</w:t>
            </w:r>
          </w:p>
        </w:tc>
        <w:tc>
          <w:tcPr>
            <w:tcW w:w="451" w:type="dxa"/>
            <w:vAlign w:val="top"/>
          </w:tcPr>
          <w:p w14:paraId="6C23833E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7B7A4379">
            <w:pPr>
              <w:pStyle w:val="6"/>
              <w:spacing w:before="62" w:line="257" w:lineRule="exact"/>
              <w:ind w:left="192"/>
              <w:jc w:val="center"/>
              <w:rPr>
                <w:rFonts w:hint="eastAsia"/>
                <w:position w:val="1"/>
                <w:lang w:val="en-US" w:eastAsia="zh-CN"/>
              </w:rPr>
            </w:pPr>
          </w:p>
          <w:p w14:paraId="4A970E37">
            <w:pPr>
              <w:pStyle w:val="6"/>
              <w:spacing w:before="62" w:line="257" w:lineRule="exact"/>
              <w:ind w:left="192"/>
              <w:jc w:val="center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510" w:type="dxa"/>
            <w:vAlign w:val="top"/>
          </w:tcPr>
          <w:p w14:paraId="6EA5CBC2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5BF35DF4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</w:p>
          <w:p w14:paraId="6A868739">
            <w:pPr>
              <w:pStyle w:val="6"/>
              <w:spacing w:before="61" w:line="241" w:lineRule="auto"/>
              <w:ind w:left="67" w:right="41" w:hanging="2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45</w:t>
            </w:r>
            <w:r>
              <w:rPr>
                <w:spacing w:val="2"/>
              </w:rPr>
              <w:t>周</w:t>
            </w:r>
            <w:r>
              <w:rPr>
                <w:spacing w:val="1"/>
              </w:rPr>
              <w:t>岁及以下</w:t>
            </w:r>
          </w:p>
        </w:tc>
        <w:tc>
          <w:tcPr>
            <w:tcW w:w="494" w:type="dxa"/>
            <w:vAlign w:val="top"/>
          </w:tcPr>
          <w:p w14:paraId="2F29E2C7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71681D66">
            <w:pPr>
              <w:pStyle w:val="6"/>
              <w:spacing w:before="62" w:line="227" w:lineRule="auto"/>
              <w:ind w:left="55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4C1D2906">
            <w:pPr>
              <w:pStyle w:val="6"/>
              <w:spacing w:before="12" w:line="231" w:lineRule="auto"/>
              <w:ind w:left="54"/>
              <w:jc w:val="center"/>
            </w:pPr>
            <w:r>
              <w:rPr>
                <w:rFonts w:hint="eastAsia"/>
                <w:spacing w:val="4"/>
                <w:lang w:val="en-US" w:eastAsia="zh-CN"/>
              </w:rPr>
              <w:t>大专</w:t>
            </w:r>
            <w:r>
              <w:rPr>
                <w:spacing w:val="5"/>
              </w:rPr>
              <w:t>及以</w:t>
            </w:r>
          </w:p>
          <w:p w14:paraId="6BE0A0FC">
            <w:pPr>
              <w:pStyle w:val="6"/>
              <w:spacing w:before="9" w:line="241" w:lineRule="auto"/>
              <w:ind w:left="154"/>
              <w:jc w:val="center"/>
            </w:pPr>
            <w:r>
              <w:t>上</w:t>
            </w:r>
          </w:p>
        </w:tc>
        <w:tc>
          <w:tcPr>
            <w:tcW w:w="4536" w:type="dxa"/>
            <w:vAlign w:val="top"/>
          </w:tcPr>
          <w:p w14:paraId="1561ABED">
            <w:pPr>
              <w:pStyle w:val="6"/>
              <w:spacing w:before="62" w:line="241" w:lineRule="auto"/>
              <w:ind w:right="57"/>
              <w:jc w:val="both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 w:cs="宋体"/>
                <w:spacing w:val="6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pacing w:val="6"/>
                <w:lang w:val="en-US" w:eastAsia="zh-CN"/>
              </w:rPr>
              <w:t>负责保安人员的选聘、培训、日常排班考勤及思想教育工作；</w:t>
            </w:r>
          </w:p>
          <w:p w14:paraId="2534B4CF">
            <w:pPr>
              <w:pStyle w:val="6"/>
              <w:spacing w:before="62" w:line="241" w:lineRule="auto"/>
              <w:ind w:right="57"/>
              <w:jc w:val="both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 w:cs="宋体"/>
                <w:spacing w:val="6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pacing w:val="6"/>
                <w:lang w:val="en-US" w:eastAsia="zh-CN"/>
              </w:rPr>
              <w:t>监督各岗位人员履职情况；</w:t>
            </w:r>
          </w:p>
          <w:p w14:paraId="3E76C266">
            <w:pPr>
              <w:pStyle w:val="6"/>
              <w:spacing w:before="62" w:line="241" w:lineRule="auto"/>
              <w:ind w:right="57"/>
              <w:jc w:val="both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 w:cs="宋体"/>
                <w:spacing w:val="6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pacing w:val="6"/>
                <w:lang w:val="en-US" w:eastAsia="zh-CN"/>
              </w:rPr>
              <w:t>定期组织考核并提出奖惩建议，主导每日工作例会与每周安全例会；</w:t>
            </w:r>
          </w:p>
          <w:p w14:paraId="11D06AE9">
            <w:pPr>
              <w:pStyle w:val="6"/>
              <w:spacing w:before="62" w:line="241" w:lineRule="auto"/>
              <w:ind w:right="57"/>
              <w:jc w:val="both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 w:cs="宋体"/>
                <w:spacing w:val="6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pacing w:val="6"/>
                <w:lang w:val="en-US" w:eastAsia="zh-CN"/>
              </w:rPr>
              <w:t>开展安全巡查与防范工作，每日组织安全巡查及夜间查岗，排查设施设备、消防通道等安全隐患；</w:t>
            </w:r>
          </w:p>
          <w:p w14:paraId="40A70162">
            <w:pPr>
              <w:pStyle w:val="6"/>
              <w:spacing w:before="62" w:line="241" w:lineRule="auto"/>
              <w:ind w:right="57"/>
              <w:jc w:val="both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/>
                <w:spacing w:val="6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pacing w:val="6"/>
                <w:lang w:val="en-US" w:eastAsia="zh-CN"/>
              </w:rPr>
              <w:t>督导消防设施与监控系统的维护保养；</w:t>
            </w:r>
          </w:p>
        </w:tc>
        <w:tc>
          <w:tcPr>
            <w:tcW w:w="2140" w:type="dxa"/>
            <w:vAlign w:val="top"/>
          </w:tcPr>
          <w:p w14:paraId="79DAE4A4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/>
                <w:spacing w:val="8"/>
                <w:lang w:val="en-US" w:eastAsia="zh-CN"/>
              </w:rPr>
            </w:pPr>
          </w:p>
          <w:p w14:paraId="31C2A4F8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/>
                <w:spacing w:val="8"/>
                <w:lang w:val="en-US" w:eastAsia="zh-CN"/>
              </w:rPr>
            </w:pPr>
          </w:p>
          <w:p w14:paraId="7055E5DA">
            <w:pPr>
              <w:pStyle w:val="6"/>
              <w:spacing w:before="62" w:line="241" w:lineRule="auto"/>
              <w:ind w:right="57" w:firstLine="412" w:firstLineChars="200"/>
              <w:jc w:val="both"/>
              <w:rPr>
                <w:rFonts w:hint="default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default"/>
                <w:spacing w:val="8"/>
                <w:lang w:val="en-US" w:eastAsia="zh-CN"/>
              </w:rPr>
              <w:t>退伍军人、中共党员或持有保安证者优先。</w:t>
            </w:r>
          </w:p>
        </w:tc>
      </w:tr>
    </w:tbl>
    <w:p w14:paraId="0F2E1820">
      <w:pPr>
        <w:tabs>
          <w:tab w:val="left" w:pos="1586"/>
        </w:tabs>
        <w:bidi w:val="0"/>
        <w:jc w:val="left"/>
        <w:rPr>
          <w:rFonts w:hint="eastAsia"/>
          <w:lang w:val="en-US" w:eastAsia="zh-CN"/>
        </w:rPr>
      </w:pPr>
    </w:p>
    <w:sectPr>
      <w:pgSz w:w="11905" w:h="16837"/>
      <w:pgMar w:top="1431" w:right="1140" w:bottom="0" w:left="10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D7795"/>
    <w:multiLevelType w:val="singleLevel"/>
    <w:tmpl w:val="06CD77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24EC7"/>
    <w:rsid w:val="0B260413"/>
    <w:rsid w:val="143C14A5"/>
    <w:rsid w:val="2D0B7011"/>
    <w:rsid w:val="30007611"/>
    <w:rsid w:val="421F113C"/>
    <w:rsid w:val="52A06C9A"/>
    <w:rsid w:val="547E2AA4"/>
    <w:rsid w:val="5A9D4737"/>
    <w:rsid w:val="7C0D3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8"/>
      <w:szCs w:val="3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8052109b-a185-49e7-8655-775dcbd2a73e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1A571A9B</paraID>
      <start>9</start>
      <end>10</end>
      <status>modified</status>
      <modifiedWord>（</modifiedWord>
      <trackRevisions>false</trackRevisions>
    </reviewItem>
    <reviewItem>
      <errorID>224ac0ce-6996-4c20-b5bb-e02880a481ed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1A571A9B</paraID>
      <start>11</start>
      <end>12</end>
      <status>modified</status>
      <modifiedWord>）</modifiedWord>
      <trackRevisions>false</trackRevisions>
    </reviewItem>
    <reviewItem>
      <errorID>23b261c6-23b4-47a6-a26b-00408766898c</errorID>
      <errorWord>划</errorWord>
      <group>L1_Word</group>
      <groupName>字词问题</groupName>
      <ability>L2_Typo</ability>
      <abilityName>字词错误</abilityName>
      <candidateList>
        <item>划和</item>
      </candidateList>
      <explain/>
      <paraID>2590EF73</paraID>
      <start>52</start>
      <end>53</end>
      <status>ignored</status>
      <modifiedWord/>
      <trackRevisions>false</trackRevisions>
    </reviewItem>
    <reviewItem>
      <errorID>679e2ed1-8996-4dad-849d-54f404ec8a3f</errorID>
      <errorWord>。</errorWord>
      <group>L1_Punc</group>
      <groupName>标点问题</groupName>
      <ability>L2_Punc</ability>
      <abilityName>标点符号检查</abilityName>
      <candidateList/>
      <explain/>
      <paraID>1B9EE2BA</paraID>
      <start>0</start>
      <end>1</end>
      <status>ignored</status>
      <modifiedWord/>
      <trackRevisions>false</trackRevisions>
    </reviewItem>
    <reviewItem>
      <errorID>0a9a315c-bc0b-405d-a25c-b4ec82d2ad88</errorID>
      <errorWord>销售订单</errorWord>
      <group>L1_Knowledge</group>
      <groupName>知识性问题</groupName>
      <ability>L2_Term</ability>
      <abilityName>专业术语</abilityName>
      <candidateList>
        <item>销售定单</item>
      </candidateList>
      <explain/>
      <paraID>3CD57355</paraID>
      <start>24</start>
      <end>28</end>
      <status>modified</status>
      <modifiedWord>销售定单</modifiedWord>
      <trackRevisions>false</trackRevisions>
    </reviewItem>
    <reviewItem>
      <errorID>e5806e10-ce32-4962-8e8c-8095620272b2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4832E219</paraID>
      <start>12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e6f8bd-c3d8-4b91-a17e-a5c1d64e5a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1157</Words>
  <Characters>1187</Characters>
  <TotalTime>203</TotalTime>
  <ScaleCrop>false</ScaleCrop>
  <LinksUpToDate>false</LinksUpToDate>
  <CharactersWithSpaces>1189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2025-11-11T15:35:00Z</dcterms:created>
  <dc:creator>Administrator</dc:creator>
  <cp:lastModifiedBy>花开为念，落雪成诗</cp:lastModifiedBy>
  <cp:lastPrinted>2026-01-04T04:36:00Z</cp:lastPrinted>
  <dcterms:modified xsi:type="dcterms:W3CDTF">2026-06-15T11:08:35Z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2025-12-31T14:40:40Z</vt:filetime>
  </property>
  <property fmtid="{D5CDD505-2E9C-101B-9397-08002B2CF9AE}" pid="4" name="KSOTemplateDocerSaveRecord">
    <vt:lpwstr>eyJoZGlkIjoiNDVhZGM2ZTQzZjAxZWQzODNkYjc5ODNhYjMwODliMjMiLCJ1c2VySWQiOiI0NDk5MjkzNDEifQ==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B515B08AEF134B1984190F3F309BF728_13</vt:lpwstr>
  </property>
</Properties>
</file>