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7CC06">
      <w:pPr>
        <w:spacing w:line="560" w:lineRule="exact"/>
        <w:ind w:firstLine="640" w:firstLineChars="200"/>
        <w:jc w:val="center"/>
        <w:rPr>
          <w:rFonts w:ascii="仿宋" w:hAnsi="仿宋" w:eastAsia="仿宋" w:cs="仿宋"/>
          <w:sz w:val="28"/>
          <w:szCs w:val="28"/>
        </w:rPr>
      </w:pPr>
      <w:r>
        <w:rPr>
          <w:rFonts w:hint="eastAsia" w:ascii="仿宋" w:hAnsi="仿宋" w:eastAsia="仿宋" w:cs="仿宋"/>
          <w:sz w:val="32"/>
          <w:szCs w:val="32"/>
          <w:highlight w:val="none"/>
          <w:shd w:val="clear" w:color="auto" w:fill="auto"/>
          <w:lang w:val="en-US" w:eastAsia="zh-CN"/>
        </w:rPr>
        <w:t>附件1：生泰海洋公司面向泰达控股系统内公开招聘一般管理人员岗位汇总表</w:t>
      </w:r>
    </w:p>
    <w:tbl>
      <w:tblPr>
        <w:tblStyle w:val="6"/>
        <w:tblW w:w="148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1"/>
        <w:gridCol w:w="1154"/>
        <w:gridCol w:w="1142"/>
        <w:gridCol w:w="520"/>
        <w:gridCol w:w="8470"/>
        <w:gridCol w:w="3013"/>
      </w:tblGrid>
      <w:tr w14:paraId="5D9F5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561" w:type="dxa"/>
            <w:vAlign w:val="center"/>
          </w:tcPr>
          <w:p w14:paraId="5EC6C8A2">
            <w:pPr>
              <w:spacing w:line="240" w:lineRule="exact"/>
              <w:jc w:val="center"/>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序号</w:t>
            </w:r>
          </w:p>
        </w:tc>
        <w:tc>
          <w:tcPr>
            <w:tcW w:w="1154" w:type="dxa"/>
            <w:vAlign w:val="center"/>
          </w:tcPr>
          <w:p w14:paraId="1349C692">
            <w:pPr>
              <w:spacing w:line="240" w:lineRule="exact"/>
              <w:jc w:val="center"/>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部门名称</w:t>
            </w:r>
          </w:p>
        </w:tc>
        <w:tc>
          <w:tcPr>
            <w:tcW w:w="1142" w:type="dxa"/>
            <w:vAlign w:val="center"/>
          </w:tcPr>
          <w:p w14:paraId="07F0DD38">
            <w:pPr>
              <w:spacing w:line="240" w:lineRule="exact"/>
              <w:jc w:val="center"/>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岗位名称</w:t>
            </w:r>
          </w:p>
        </w:tc>
        <w:tc>
          <w:tcPr>
            <w:tcW w:w="520" w:type="dxa"/>
            <w:vAlign w:val="center"/>
          </w:tcPr>
          <w:p w14:paraId="0159B580">
            <w:pPr>
              <w:jc w:val="center"/>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人数</w:t>
            </w:r>
          </w:p>
        </w:tc>
        <w:tc>
          <w:tcPr>
            <w:tcW w:w="8470" w:type="dxa"/>
            <w:vAlign w:val="center"/>
          </w:tcPr>
          <w:p w14:paraId="67DAE455">
            <w:pPr>
              <w:spacing w:line="240" w:lineRule="exact"/>
              <w:jc w:val="center"/>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lang w:val="en-US" w:eastAsia="zh-CN"/>
              </w:rPr>
              <w:t>主要</w:t>
            </w:r>
            <w:r>
              <w:rPr>
                <w:rFonts w:hint="eastAsia" w:ascii="仿宋" w:hAnsi="仿宋" w:eastAsia="仿宋" w:cs="仿宋"/>
                <w:color w:val="auto"/>
                <w:spacing w:val="-2"/>
                <w:sz w:val="15"/>
                <w:szCs w:val="15"/>
              </w:rPr>
              <w:t>职责</w:t>
            </w:r>
          </w:p>
        </w:tc>
        <w:tc>
          <w:tcPr>
            <w:tcW w:w="3013" w:type="dxa"/>
            <w:vAlign w:val="center"/>
          </w:tcPr>
          <w:p w14:paraId="279A7333">
            <w:pPr>
              <w:spacing w:line="240" w:lineRule="exact"/>
              <w:jc w:val="center"/>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lang w:val="en-US" w:eastAsia="zh-CN"/>
              </w:rPr>
              <w:t>应聘</w:t>
            </w:r>
            <w:r>
              <w:rPr>
                <w:rFonts w:hint="eastAsia" w:ascii="仿宋" w:hAnsi="仿宋" w:eastAsia="仿宋" w:cs="仿宋"/>
                <w:color w:val="auto"/>
                <w:spacing w:val="-2"/>
                <w:sz w:val="15"/>
                <w:szCs w:val="15"/>
              </w:rPr>
              <w:t>条件</w:t>
            </w:r>
          </w:p>
        </w:tc>
      </w:tr>
      <w:tr w14:paraId="26F21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70" w:hRule="atLeast"/>
          <w:jc w:val="center"/>
        </w:trPr>
        <w:tc>
          <w:tcPr>
            <w:tcW w:w="561" w:type="dxa"/>
            <w:vAlign w:val="center"/>
          </w:tcPr>
          <w:p w14:paraId="5F0C9D6B">
            <w:pPr>
              <w:spacing w:line="240" w:lineRule="exact"/>
              <w:jc w:val="center"/>
              <w:rPr>
                <w:rFonts w:hint="eastAsia" w:ascii="仿宋" w:hAnsi="仿宋" w:eastAsia="仿宋" w:cs="仿宋"/>
                <w:color w:val="auto"/>
                <w:spacing w:val="-2"/>
                <w:sz w:val="15"/>
                <w:szCs w:val="15"/>
                <w:lang w:eastAsia="zh-CN"/>
              </w:rPr>
            </w:pPr>
            <w:r>
              <w:rPr>
                <w:rFonts w:hint="eastAsia" w:ascii="仿宋" w:hAnsi="仿宋" w:eastAsia="仿宋" w:cs="仿宋"/>
                <w:color w:val="auto"/>
                <w:spacing w:val="-2"/>
                <w:sz w:val="15"/>
                <w:szCs w:val="15"/>
                <w:lang w:val="en-US" w:eastAsia="zh-CN"/>
              </w:rPr>
              <w:t>1</w:t>
            </w:r>
          </w:p>
        </w:tc>
        <w:tc>
          <w:tcPr>
            <w:tcW w:w="1154" w:type="dxa"/>
            <w:vAlign w:val="center"/>
          </w:tcPr>
          <w:p w14:paraId="352C7C7F">
            <w:pPr>
              <w:spacing w:line="240" w:lineRule="exact"/>
              <w:jc w:val="center"/>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党群工作部</w:t>
            </w:r>
          </w:p>
        </w:tc>
        <w:tc>
          <w:tcPr>
            <w:tcW w:w="1142" w:type="dxa"/>
            <w:vAlign w:val="center"/>
          </w:tcPr>
          <w:p w14:paraId="09E8872A">
            <w:pPr>
              <w:spacing w:line="240" w:lineRule="exact"/>
              <w:jc w:val="center"/>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纪检岗</w:t>
            </w:r>
          </w:p>
        </w:tc>
        <w:tc>
          <w:tcPr>
            <w:tcW w:w="520" w:type="dxa"/>
            <w:vAlign w:val="center"/>
          </w:tcPr>
          <w:p w14:paraId="7B1B34C1">
            <w:pPr>
              <w:spacing w:line="240" w:lineRule="exact"/>
              <w:jc w:val="center"/>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1</w:t>
            </w:r>
          </w:p>
        </w:tc>
        <w:tc>
          <w:tcPr>
            <w:tcW w:w="8470" w:type="dxa"/>
            <w:vAlign w:val="center"/>
          </w:tcPr>
          <w:p w14:paraId="13A95FF5">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1、负责制定公司纪律检查相关规章制度。</w:t>
            </w:r>
          </w:p>
          <w:p w14:paraId="245E6F22">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2、负责拟定、收发、传阅、催办纪检各类文件及材料，填写、报送《所属企业纪检组织落实全面从严治党监督责任工作手册》，编写各类纪检监察统计报表。</w:t>
            </w:r>
          </w:p>
          <w:p w14:paraId="07CDD909">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lang w:val="en-US" w:eastAsia="zh-CN"/>
              </w:rPr>
              <w:t>3</w:t>
            </w:r>
            <w:r>
              <w:rPr>
                <w:rFonts w:hint="eastAsia" w:ascii="仿宋" w:hAnsi="仿宋" w:eastAsia="仿宋" w:cs="仿宋"/>
                <w:color w:val="auto"/>
                <w:spacing w:val="-2"/>
                <w:sz w:val="15"/>
                <w:szCs w:val="15"/>
              </w:rPr>
              <w:t>、负责监督检查贯彻落实习近平总书记重要指示批示情况及落实中央八项规定情况并完成季报工作。</w:t>
            </w:r>
          </w:p>
          <w:p w14:paraId="6ED560CB">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lang w:val="en-US" w:eastAsia="zh-CN"/>
              </w:rPr>
              <w:t>4</w:t>
            </w:r>
            <w:r>
              <w:rPr>
                <w:rFonts w:hint="eastAsia" w:ascii="仿宋" w:hAnsi="仿宋" w:eastAsia="仿宋" w:cs="仿宋"/>
                <w:color w:val="auto"/>
                <w:spacing w:val="-2"/>
                <w:sz w:val="15"/>
                <w:szCs w:val="15"/>
              </w:rPr>
              <w:t>、负责开展对党员和党员领导干部的党性、党风和党纪教育。</w:t>
            </w:r>
          </w:p>
          <w:p w14:paraId="647C0E4F">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lang w:val="en-US" w:eastAsia="zh-CN"/>
              </w:rPr>
              <w:t>5</w:t>
            </w:r>
            <w:r>
              <w:rPr>
                <w:rFonts w:hint="eastAsia" w:ascii="仿宋" w:hAnsi="仿宋" w:eastAsia="仿宋" w:cs="仿宋"/>
                <w:color w:val="auto"/>
                <w:spacing w:val="-2"/>
                <w:sz w:val="15"/>
                <w:szCs w:val="15"/>
              </w:rPr>
              <w:t>、负责监督推动廉洁风险点排查及防控措施落实情况并完成半年报工作。</w:t>
            </w:r>
          </w:p>
          <w:p w14:paraId="43B78B6F">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lang w:val="en-US" w:eastAsia="zh-CN"/>
              </w:rPr>
              <w:t>6</w:t>
            </w:r>
            <w:r>
              <w:rPr>
                <w:rFonts w:hint="eastAsia" w:ascii="仿宋" w:hAnsi="仿宋" w:eastAsia="仿宋" w:cs="仿宋"/>
                <w:color w:val="auto"/>
                <w:spacing w:val="-2"/>
                <w:sz w:val="15"/>
                <w:szCs w:val="15"/>
              </w:rPr>
              <w:t>、负责党风廉政建设及反腐败宣传教育工作，廉洁文化创建及警示教育工作，协助泰达控股进行反腐廉政宣传教育，监督推动党内政治文化、廉洁文化建设情况并完成年报工作。</w:t>
            </w:r>
          </w:p>
          <w:p w14:paraId="580733CF">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lang w:val="en-US" w:eastAsia="zh-CN"/>
              </w:rPr>
              <w:t>7</w:t>
            </w:r>
            <w:r>
              <w:rPr>
                <w:rFonts w:hint="eastAsia" w:ascii="仿宋" w:hAnsi="仿宋" w:eastAsia="仿宋" w:cs="仿宋"/>
                <w:color w:val="auto"/>
                <w:spacing w:val="-2"/>
                <w:sz w:val="15"/>
                <w:szCs w:val="15"/>
              </w:rPr>
              <w:t>、负责监督全面从严治党主体责任清单、任务清单落实情况并完成半年报工作。</w:t>
            </w:r>
          </w:p>
          <w:p w14:paraId="4A96C8A2">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lang w:val="en-US" w:eastAsia="zh-CN"/>
              </w:rPr>
              <w:t>8</w:t>
            </w:r>
            <w:r>
              <w:rPr>
                <w:rFonts w:hint="eastAsia" w:ascii="仿宋" w:hAnsi="仿宋" w:eastAsia="仿宋" w:cs="仿宋"/>
                <w:color w:val="auto"/>
                <w:spacing w:val="-2"/>
                <w:sz w:val="15"/>
                <w:szCs w:val="15"/>
              </w:rPr>
              <w:t>、负责监督三重一大决策程序执行情况并完成季报工作，监督选人用人程序履行情况。</w:t>
            </w:r>
            <w:bookmarkStart w:id="0" w:name="_GoBack"/>
            <w:bookmarkEnd w:id="0"/>
          </w:p>
          <w:p w14:paraId="70ABDEBC">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lang w:val="en-US" w:eastAsia="zh-CN"/>
              </w:rPr>
              <w:t>9</w:t>
            </w:r>
            <w:r>
              <w:rPr>
                <w:rFonts w:hint="eastAsia" w:ascii="仿宋" w:hAnsi="仿宋" w:eastAsia="仿宋" w:cs="仿宋"/>
                <w:color w:val="auto"/>
                <w:spacing w:val="-2"/>
                <w:sz w:val="15"/>
                <w:szCs w:val="15"/>
              </w:rPr>
              <w:t>、负责运用提示函、建议书提示提醒以及廉政意见回复等工作。</w:t>
            </w:r>
          </w:p>
          <w:p w14:paraId="331E99A3">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lang w:val="en-US" w:eastAsia="zh-CN"/>
              </w:rPr>
              <w:t>10</w:t>
            </w:r>
            <w:r>
              <w:rPr>
                <w:rFonts w:hint="eastAsia" w:ascii="仿宋" w:hAnsi="仿宋" w:eastAsia="仿宋" w:cs="仿宋"/>
                <w:color w:val="auto"/>
                <w:spacing w:val="-2"/>
                <w:sz w:val="15"/>
                <w:szCs w:val="15"/>
              </w:rPr>
              <w:t>、负责组织党员干部廉政谈话、主动约谈工作并完成季报工作。</w:t>
            </w:r>
          </w:p>
          <w:p w14:paraId="4277CD4A">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1</w:t>
            </w:r>
            <w:r>
              <w:rPr>
                <w:rFonts w:hint="eastAsia" w:ascii="仿宋" w:hAnsi="仿宋" w:eastAsia="仿宋" w:cs="仿宋"/>
                <w:color w:val="auto"/>
                <w:spacing w:val="-2"/>
                <w:sz w:val="15"/>
                <w:szCs w:val="15"/>
                <w:lang w:val="en-US" w:eastAsia="zh-CN"/>
              </w:rPr>
              <w:t>1</w:t>
            </w:r>
            <w:r>
              <w:rPr>
                <w:rFonts w:hint="eastAsia" w:ascii="仿宋" w:hAnsi="仿宋" w:eastAsia="仿宋" w:cs="仿宋"/>
                <w:color w:val="auto"/>
                <w:spacing w:val="-2"/>
                <w:sz w:val="15"/>
                <w:szCs w:val="15"/>
              </w:rPr>
              <w:t>、承办上级</w:t>
            </w:r>
            <w:r>
              <w:rPr>
                <w:rFonts w:hint="eastAsia" w:ascii="仿宋" w:hAnsi="仿宋" w:eastAsia="仿宋" w:cs="仿宋"/>
                <w:color w:val="auto"/>
                <w:spacing w:val="-2"/>
                <w:sz w:val="15"/>
                <w:szCs w:val="15"/>
                <w:lang w:val="en-US" w:eastAsia="zh-CN"/>
              </w:rPr>
              <w:t>纪检</w:t>
            </w:r>
            <w:r>
              <w:rPr>
                <w:rFonts w:hint="eastAsia" w:ascii="仿宋" w:hAnsi="仿宋" w:eastAsia="仿宋" w:cs="仿宋"/>
                <w:color w:val="auto"/>
                <w:spacing w:val="-2"/>
                <w:sz w:val="15"/>
                <w:szCs w:val="15"/>
              </w:rPr>
              <w:t>组织、公司党支部交办的其他工作。</w:t>
            </w:r>
          </w:p>
        </w:tc>
        <w:tc>
          <w:tcPr>
            <w:tcW w:w="3013" w:type="dxa"/>
            <w:vAlign w:val="center"/>
          </w:tcPr>
          <w:p w14:paraId="1B640263">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highlight w:val="none"/>
                <w:lang w:eastAsia="zh-CN"/>
              </w:rPr>
            </w:pPr>
            <w:r>
              <w:rPr>
                <w:rFonts w:hint="eastAsia" w:ascii="仿宋" w:hAnsi="仿宋" w:eastAsia="仿宋" w:cs="仿宋"/>
                <w:color w:val="auto"/>
                <w:spacing w:val="-2"/>
                <w:sz w:val="15"/>
                <w:szCs w:val="15"/>
                <w:highlight w:val="none"/>
              </w:rPr>
              <w:t>1</w:t>
            </w:r>
            <w:r>
              <w:rPr>
                <w:rFonts w:hint="eastAsia" w:ascii="仿宋" w:hAnsi="仿宋" w:eastAsia="仿宋" w:cs="仿宋"/>
                <w:color w:val="auto"/>
                <w:spacing w:val="-2"/>
                <w:sz w:val="15"/>
                <w:szCs w:val="15"/>
                <w:highlight w:val="none"/>
                <w:lang w:eastAsia="zh-CN"/>
              </w:rPr>
              <w:t>、</w:t>
            </w:r>
            <w:r>
              <w:rPr>
                <w:rFonts w:hint="eastAsia" w:ascii="仿宋" w:hAnsi="仿宋" w:eastAsia="仿宋" w:cs="仿宋"/>
                <w:color w:val="auto"/>
                <w:spacing w:val="-2"/>
                <w:sz w:val="15"/>
                <w:szCs w:val="15"/>
                <w:highlight w:val="none"/>
                <w:lang w:val="en-US" w:eastAsia="zh-CN"/>
              </w:rPr>
              <w:t>本科及以上学历；</w:t>
            </w:r>
          </w:p>
          <w:p w14:paraId="1C507A57">
            <w:pPr>
              <w:keepNext w:val="0"/>
              <w:keepLines w:val="0"/>
              <w:pageBreakBefore w:val="0"/>
              <w:widowControl/>
              <w:tabs>
                <w:tab w:val="center" w:pos="1501"/>
              </w:tabs>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highlight w:val="none"/>
                <w:lang w:eastAsia="zh-CN"/>
              </w:rPr>
            </w:pPr>
            <w:r>
              <w:rPr>
                <w:rFonts w:hint="eastAsia" w:ascii="仿宋" w:hAnsi="仿宋" w:eastAsia="仿宋" w:cs="仿宋"/>
                <w:color w:val="auto"/>
                <w:spacing w:val="-2"/>
                <w:sz w:val="15"/>
                <w:szCs w:val="15"/>
                <w:highlight w:val="none"/>
                <w:lang w:val="en-US" w:eastAsia="zh-CN"/>
              </w:rPr>
              <w:t>2、</w:t>
            </w:r>
            <w:r>
              <w:rPr>
                <w:rFonts w:hint="eastAsia" w:ascii="仿宋" w:hAnsi="仿宋" w:eastAsia="仿宋" w:cs="仿宋"/>
                <w:color w:val="auto"/>
                <w:spacing w:val="-2"/>
                <w:sz w:val="15"/>
                <w:szCs w:val="15"/>
                <w:highlight w:val="none"/>
              </w:rPr>
              <w:t>中共党员</w:t>
            </w:r>
            <w:r>
              <w:rPr>
                <w:rFonts w:hint="eastAsia" w:ascii="仿宋" w:hAnsi="仿宋" w:eastAsia="仿宋" w:cs="仿宋"/>
                <w:color w:val="auto"/>
                <w:spacing w:val="-2"/>
                <w:sz w:val="15"/>
                <w:szCs w:val="15"/>
                <w:highlight w:val="none"/>
                <w:lang w:eastAsia="zh-CN"/>
              </w:rPr>
              <w:t>；</w:t>
            </w:r>
          </w:p>
          <w:p w14:paraId="0442EEA6">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highlight w:val="none"/>
                <w:lang w:val="en-US" w:eastAsia="zh-CN"/>
              </w:rPr>
            </w:pPr>
            <w:r>
              <w:rPr>
                <w:rFonts w:hint="eastAsia" w:ascii="仿宋" w:hAnsi="仿宋" w:eastAsia="仿宋" w:cs="仿宋"/>
                <w:color w:val="auto"/>
                <w:spacing w:val="-2"/>
                <w:sz w:val="15"/>
                <w:szCs w:val="15"/>
                <w:highlight w:val="none"/>
                <w:lang w:val="en-US" w:eastAsia="zh-CN"/>
              </w:rPr>
              <w:t>3、具有3年及以上泰达控股所属企业(层级不限)相关管理岗位经验；</w:t>
            </w:r>
          </w:p>
          <w:p w14:paraId="701B1F6D">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default" w:ascii="仿宋" w:hAnsi="仿宋" w:eastAsia="仿宋" w:cs="仿宋"/>
                <w:color w:val="auto"/>
                <w:spacing w:val="-2"/>
                <w:sz w:val="15"/>
                <w:szCs w:val="15"/>
                <w:highlight w:val="none"/>
                <w:lang w:val="en-US" w:eastAsia="zh-CN"/>
              </w:rPr>
            </w:pPr>
            <w:r>
              <w:rPr>
                <w:rFonts w:hint="eastAsia" w:ascii="仿宋" w:hAnsi="仿宋" w:eastAsia="仿宋" w:cs="仿宋"/>
                <w:color w:val="auto"/>
                <w:spacing w:val="-2"/>
                <w:sz w:val="15"/>
                <w:szCs w:val="15"/>
                <w:highlight w:val="none"/>
                <w:lang w:val="en-US" w:eastAsia="zh-CN"/>
              </w:rPr>
              <w:t>4</w:t>
            </w:r>
            <w:r>
              <w:rPr>
                <w:rFonts w:hint="eastAsia" w:ascii="仿宋" w:hAnsi="仿宋" w:eastAsia="仿宋" w:cs="仿宋"/>
                <w:color w:val="auto"/>
                <w:spacing w:val="-2"/>
                <w:sz w:val="15"/>
                <w:szCs w:val="15"/>
                <w:highlight w:val="none"/>
                <w:lang w:eastAsia="zh-CN"/>
              </w:rPr>
              <w:t>、</w:t>
            </w:r>
            <w:r>
              <w:rPr>
                <w:rFonts w:hint="eastAsia" w:ascii="仿宋" w:hAnsi="仿宋" w:eastAsia="仿宋" w:cs="仿宋"/>
                <w:color w:val="auto"/>
                <w:spacing w:val="-2"/>
                <w:sz w:val="15"/>
                <w:szCs w:val="15"/>
                <w:highlight w:val="none"/>
              </w:rPr>
              <w:t>工作思路清晰，具有胜任岗位工作职责的能力和素质</w:t>
            </w:r>
            <w:r>
              <w:rPr>
                <w:rFonts w:hint="eastAsia" w:ascii="仿宋" w:hAnsi="仿宋" w:eastAsia="仿宋" w:cs="仿宋"/>
                <w:color w:val="auto"/>
                <w:spacing w:val="-2"/>
                <w:sz w:val="15"/>
                <w:szCs w:val="15"/>
                <w:highlight w:val="none"/>
                <w:lang w:eastAsia="zh-CN"/>
              </w:rPr>
              <w:t>；</w:t>
            </w:r>
          </w:p>
          <w:p w14:paraId="66D3FFF8">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highlight w:val="none"/>
              </w:rPr>
            </w:pPr>
            <w:r>
              <w:rPr>
                <w:rFonts w:hint="eastAsia" w:ascii="仿宋" w:hAnsi="仿宋" w:eastAsia="仿宋" w:cs="仿宋"/>
                <w:color w:val="auto"/>
                <w:spacing w:val="-2"/>
                <w:sz w:val="15"/>
                <w:szCs w:val="15"/>
                <w:highlight w:val="none"/>
                <w:lang w:val="en-US" w:eastAsia="zh-CN"/>
              </w:rPr>
              <w:t>5、具备良好的文字写作能力者优先。</w:t>
            </w:r>
          </w:p>
        </w:tc>
      </w:tr>
      <w:tr w14:paraId="1727F8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6" w:hRule="atLeast"/>
          <w:jc w:val="center"/>
        </w:trPr>
        <w:tc>
          <w:tcPr>
            <w:tcW w:w="561" w:type="dxa"/>
            <w:vAlign w:val="center"/>
          </w:tcPr>
          <w:p w14:paraId="1EF68B75">
            <w:pPr>
              <w:spacing w:line="240" w:lineRule="exact"/>
              <w:jc w:val="center"/>
              <w:rPr>
                <w:rFonts w:hint="eastAsia" w:ascii="仿宋" w:hAnsi="仿宋" w:eastAsia="仿宋" w:cs="仿宋"/>
                <w:color w:val="auto"/>
                <w:spacing w:val="-2"/>
                <w:sz w:val="15"/>
                <w:szCs w:val="15"/>
                <w:lang w:val="en-US" w:eastAsia="zh-CN"/>
              </w:rPr>
            </w:pPr>
            <w:r>
              <w:rPr>
                <w:rFonts w:hint="eastAsia" w:ascii="仿宋" w:hAnsi="仿宋" w:eastAsia="仿宋" w:cs="仿宋"/>
                <w:color w:val="auto"/>
                <w:spacing w:val="-2"/>
                <w:sz w:val="15"/>
                <w:szCs w:val="15"/>
                <w:lang w:val="en-US" w:eastAsia="zh-CN"/>
              </w:rPr>
              <w:t>2</w:t>
            </w:r>
          </w:p>
        </w:tc>
        <w:tc>
          <w:tcPr>
            <w:tcW w:w="1154" w:type="dxa"/>
            <w:vAlign w:val="center"/>
          </w:tcPr>
          <w:p w14:paraId="0F30321E">
            <w:pPr>
              <w:spacing w:line="240" w:lineRule="exact"/>
              <w:jc w:val="center"/>
              <w:rPr>
                <w:rFonts w:hint="eastAsia" w:ascii="仿宋" w:hAnsi="仿宋" w:eastAsia="仿宋" w:cs="仿宋"/>
                <w:color w:val="auto"/>
                <w:spacing w:val="-2"/>
                <w:sz w:val="15"/>
                <w:szCs w:val="15"/>
                <w:lang w:val="en-US" w:eastAsia="zh-CN"/>
              </w:rPr>
            </w:pPr>
            <w:r>
              <w:rPr>
                <w:rFonts w:hint="eastAsia" w:ascii="仿宋" w:hAnsi="仿宋" w:eastAsia="仿宋" w:cs="仿宋"/>
                <w:color w:val="auto"/>
                <w:spacing w:val="-2"/>
                <w:sz w:val="15"/>
                <w:szCs w:val="15"/>
                <w:lang w:val="en-US" w:eastAsia="zh-CN"/>
              </w:rPr>
              <w:t>财务部</w:t>
            </w:r>
          </w:p>
        </w:tc>
        <w:tc>
          <w:tcPr>
            <w:tcW w:w="1142" w:type="dxa"/>
            <w:vAlign w:val="center"/>
          </w:tcPr>
          <w:p w14:paraId="2ECC4CBC">
            <w:pPr>
              <w:spacing w:line="240" w:lineRule="exact"/>
              <w:jc w:val="center"/>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成本会计及决算岗</w:t>
            </w:r>
          </w:p>
        </w:tc>
        <w:tc>
          <w:tcPr>
            <w:tcW w:w="520" w:type="dxa"/>
            <w:vAlign w:val="center"/>
          </w:tcPr>
          <w:p w14:paraId="7656700E">
            <w:pPr>
              <w:spacing w:line="240" w:lineRule="exact"/>
              <w:jc w:val="center"/>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1</w:t>
            </w:r>
          </w:p>
        </w:tc>
        <w:tc>
          <w:tcPr>
            <w:tcW w:w="8470" w:type="dxa"/>
            <w:vAlign w:val="center"/>
          </w:tcPr>
          <w:p w14:paraId="0DEDE6AA">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1、负责制定系统的成本管理制度，编制成本控制方案。</w:t>
            </w:r>
          </w:p>
          <w:p w14:paraId="7F89D349">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lang w:val="en-US" w:eastAsia="zh-CN"/>
              </w:rPr>
              <w:t>2</w:t>
            </w:r>
            <w:r>
              <w:rPr>
                <w:rFonts w:hint="eastAsia" w:ascii="仿宋" w:hAnsi="仿宋" w:eastAsia="仿宋" w:cs="仿宋"/>
                <w:color w:val="auto"/>
                <w:spacing w:val="-2"/>
                <w:sz w:val="15"/>
                <w:szCs w:val="15"/>
              </w:rPr>
              <w:t>、负责各项经营业务、临海新城成本核算，对建设管理费、土地看护管理费等协议，能源、市政绿化等业务监督执行，收集并整理临海新城项目各项成本费用数据。</w:t>
            </w:r>
          </w:p>
          <w:p w14:paraId="66D99299">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3、负责实施成本控制方案，动态把控项目工程进度款，监督材料采买。</w:t>
            </w:r>
          </w:p>
          <w:p w14:paraId="17021327">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4、根据实际成本运行情况，深入分析，提出成本改良建议。</w:t>
            </w:r>
          </w:p>
          <w:p w14:paraId="3E9F8F6A">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5</w:t>
            </w:r>
            <w:r>
              <w:rPr>
                <w:rFonts w:hint="eastAsia" w:ascii="仿宋" w:hAnsi="仿宋" w:eastAsia="仿宋" w:cs="仿宋"/>
                <w:color w:val="auto"/>
                <w:spacing w:val="-2"/>
                <w:sz w:val="15"/>
                <w:szCs w:val="15"/>
                <w:lang w:eastAsia="zh-CN"/>
              </w:rPr>
              <w:t>、</w:t>
            </w:r>
            <w:r>
              <w:rPr>
                <w:rFonts w:hint="eastAsia" w:ascii="仿宋" w:hAnsi="仿宋" w:eastAsia="仿宋" w:cs="仿宋"/>
                <w:color w:val="auto"/>
                <w:spacing w:val="-2"/>
                <w:sz w:val="15"/>
                <w:szCs w:val="15"/>
              </w:rPr>
              <w:t>负责记账凭证收集、整理、装订、保管。</w:t>
            </w:r>
          </w:p>
          <w:p w14:paraId="5DE887E6">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6</w:t>
            </w:r>
            <w:r>
              <w:rPr>
                <w:rFonts w:hint="eastAsia" w:ascii="仿宋" w:hAnsi="仿宋" w:eastAsia="仿宋" w:cs="仿宋"/>
                <w:color w:val="auto"/>
                <w:spacing w:val="-2"/>
                <w:sz w:val="15"/>
                <w:szCs w:val="15"/>
                <w:lang w:eastAsia="zh-CN"/>
              </w:rPr>
              <w:t>、</w:t>
            </w:r>
            <w:r>
              <w:rPr>
                <w:rFonts w:hint="eastAsia" w:ascii="仿宋" w:hAnsi="仿宋" w:eastAsia="仿宋" w:cs="仿宋"/>
                <w:color w:val="auto"/>
                <w:spacing w:val="-2"/>
                <w:sz w:val="15"/>
                <w:szCs w:val="15"/>
              </w:rPr>
              <w:t>负责固定资产新增、调拨、报废、折旧计提，无形资产摊销，定期进行各部门所有固定资产的盘查复核，并记录真实情况汇报管理层。</w:t>
            </w:r>
          </w:p>
          <w:p w14:paraId="3C9E7D9F">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7、负责全面掌握决算项目的基本情况，梳理该项目合同、结算、付款情况，建立台账，完成项目决算工作，加快资金运转效率。</w:t>
            </w:r>
          </w:p>
          <w:p w14:paraId="22660602">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lang w:val="en-US" w:eastAsia="zh-CN"/>
              </w:rPr>
            </w:pPr>
            <w:r>
              <w:rPr>
                <w:rFonts w:hint="eastAsia" w:ascii="仿宋" w:hAnsi="仿宋" w:eastAsia="仿宋" w:cs="仿宋"/>
                <w:color w:val="auto"/>
                <w:spacing w:val="-2"/>
                <w:sz w:val="15"/>
                <w:szCs w:val="15"/>
                <w:lang w:val="en-US" w:eastAsia="zh-CN"/>
              </w:rPr>
              <w:t>8、</w:t>
            </w:r>
            <w:r>
              <w:rPr>
                <w:rFonts w:hint="eastAsia" w:ascii="仿宋" w:hAnsi="仿宋" w:eastAsia="仿宋" w:cs="仿宋"/>
                <w:color w:val="auto"/>
                <w:spacing w:val="-2"/>
                <w:sz w:val="15"/>
                <w:szCs w:val="15"/>
              </w:rPr>
              <w:t>公司交办的其他工作。</w:t>
            </w:r>
          </w:p>
        </w:tc>
        <w:tc>
          <w:tcPr>
            <w:tcW w:w="3013" w:type="dxa"/>
            <w:vAlign w:val="center"/>
          </w:tcPr>
          <w:p w14:paraId="16F3096A">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highlight w:val="none"/>
                <w:lang w:val="en-US" w:eastAsia="zh-CN"/>
              </w:rPr>
            </w:pPr>
            <w:r>
              <w:rPr>
                <w:rFonts w:hint="eastAsia" w:ascii="仿宋" w:hAnsi="仿宋" w:eastAsia="仿宋" w:cs="仿宋"/>
                <w:color w:val="auto"/>
                <w:spacing w:val="-2"/>
                <w:sz w:val="15"/>
                <w:szCs w:val="15"/>
                <w:highlight w:val="none"/>
                <w:lang w:val="en-US" w:eastAsia="zh-CN"/>
              </w:rPr>
              <w:t>1、本科及以上学历，财务类相关专业；</w:t>
            </w:r>
          </w:p>
          <w:p w14:paraId="63F9442F">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highlight w:val="none"/>
                <w:lang w:val="en-US" w:eastAsia="zh-CN"/>
              </w:rPr>
            </w:pPr>
            <w:r>
              <w:rPr>
                <w:rFonts w:hint="eastAsia" w:ascii="仿宋" w:hAnsi="仿宋" w:eastAsia="仿宋" w:cs="仿宋"/>
                <w:color w:val="auto"/>
                <w:spacing w:val="-2"/>
                <w:sz w:val="15"/>
                <w:szCs w:val="15"/>
                <w:highlight w:val="none"/>
                <w:lang w:val="en-US" w:eastAsia="zh-CN"/>
              </w:rPr>
              <w:t>2、具备中级会计师资格证；</w:t>
            </w:r>
          </w:p>
          <w:p w14:paraId="2D3266B5">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highlight w:val="none"/>
                <w:lang w:val="en-US" w:eastAsia="zh-CN"/>
              </w:rPr>
            </w:pPr>
            <w:r>
              <w:rPr>
                <w:rFonts w:hint="eastAsia" w:ascii="仿宋" w:hAnsi="仿宋" w:eastAsia="仿宋" w:cs="仿宋"/>
                <w:color w:val="auto"/>
                <w:spacing w:val="-2"/>
                <w:sz w:val="15"/>
                <w:szCs w:val="15"/>
                <w:highlight w:val="none"/>
                <w:lang w:val="en-US" w:eastAsia="zh-CN"/>
              </w:rPr>
              <w:t>3、具有3年及以上泰达控股所属企业(层级不限)相关管理岗位经验；</w:t>
            </w:r>
          </w:p>
          <w:p w14:paraId="62378469">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default" w:ascii="仿宋" w:hAnsi="仿宋" w:eastAsia="仿宋" w:cs="仿宋"/>
                <w:color w:val="auto"/>
                <w:spacing w:val="-2"/>
                <w:sz w:val="15"/>
                <w:szCs w:val="15"/>
                <w:highlight w:val="none"/>
                <w:lang w:val="en-US" w:eastAsia="zh-CN"/>
              </w:rPr>
            </w:pPr>
            <w:r>
              <w:rPr>
                <w:rFonts w:hint="eastAsia" w:ascii="仿宋" w:hAnsi="仿宋" w:eastAsia="仿宋" w:cs="仿宋"/>
                <w:color w:val="auto"/>
                <w:spacing w:val="-2"/>
                <w:sz w:val="15"/>
                <w:szCs w:val="15"/>
                <w:highlight w:val="none"/>
                <w:lang w:val="en-US" w:eastAsia="zh-CN"/>
              </w:rPr>
              <w:t>4</w:t>
            </w:r>
            <w:r>
              <w:rPr>
                <w:rFonts w:hint="eastAsia" w:ascii="仿宋" w:hAnsi="仿宋" w:eastAsia="仿宋" w:cs="仿宋"/>
                <w:color w:val="auto"/>
                <w:spacing w:val="-2"/>
                <w:sz w:val="15"/>
                <w:szCs w:val="15"/>
                <w:highlight w:val="none"/>
                <w:lang w:eastAsia="zh-CN"/>
              </w:rPr>
              <w:t>、</w:t>
            </w:r>
            <w:r>
              <w:rPr>
                <w:rFonts w:hint="eastAsia" w:ascii="仿宋" w:hAnsi="仿宋" w:eastAsia="仿宋" w:cs="仿宋"/>
                <w:color w:val="auto"/>
                <w:spacing w:val="-2"/>
                <w:sz w:val="15"/>
                <w:szCs w:val="15"/>
                <w:highlight w:val="none"/>
              </w:rPr>
              <w:t>工作思路清晰，具有胜任岗位工作职责的能力和素质</w:t>
            </w:r>
            <w:r>
              <w:rPr>
                <w:rFonts w:hint="eastAsia" w:ascii="仿宋" w:hAnsi="仿宋" w:eastAsia="仿宋" w:cs="仿宋"/>
                <w:color w:val="auto"/>
                <w:spacing w:val="-2"/>
                <w:sz w:val="15"/>
                <w:szCs w:val="15"/>
                <w:highlight w:val="none"/>
                <w:lang w:eastAsia="zh-CN"/>
              </w:rPr>
              <w:t>。</w:t>
            </w:r>
          </w:p>
        </w:tc>
      </w:tr>
      <w:tr w14:paraId="61B0A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6" w:hRule="atLeast"/>
          <w:jc w:val="center"/>
        </w:trPr>
        <w:tc>
          <w:tcPr>
            <w:tcW w:w="561" w:type="dxa"/>
            <w:vAlign w:val="center"/>
          </w:tcPr>
          <w:p w14:paraId="30D28CAE">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eastAsia" w:ascii="仿宋" w:hAnsi="仿宋" w:eastAsia="仿宋" w:cs="仿宋"/>
                <w:color w:val="auto"/>
                <w:spacing w:val="-2"/>
                <w:sz w:val="15"/>
                <w:szCs w:val="15"/>
                <w:lang w:val="en-US" w:eastAsia="zh-CN"/>
              </w:rPr>
            </w:pPr>
            <w:r>
              <w:rPr>
                <w:rFonts w:hint="eastAsia" w:ascii="仿宋" w:hAnsi="仿宋" w:eastAsia="仿宋" w:cs="仿宋"/>
                <w:color w:val="auto"/>
                <w:spacing w:val="-2"/>
                <w:sz w:val="15"/>
                <w:szCs w:val="15"/>
                <w:lang w:val="en-US" w:eastAsia="zh-CN"/>
              </w:rPr>
              <w:t>3</w:t>
            </w:r>
          </w:p>
        </w:tc>
        <w:tc>
          <w:tcPr>
            <w:tcW w:w="1154" w:type="dxa"/>
            <w:vAlign w:val="center"/>
          </w:tcPr>
          <w:p w14:paraId="3388CAA5">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eastAsia" w:ascii="仿宋" w:hAnsi="仿宋" w:eastAsia="仿宋" w:cs="仿宋"/>
                <w:color w:val="auto"/>
                <w:spacing w:val="-2"/>
                <w:sz w:val="15"/>
                <w:szCs w:val="15"/>
                <w:lang w:val="en-US" w:eastAsia="zh-CN"/>
              </w:rPr>
            </w:pPr>
            <w:r>
              <w:rPr>
                <w:rFonts w:hint="eastAsia" w:ascii="仿宋" w:hAnsi="仿宋" w:eastAsia="仿宋" w:cs="仿宋"/>
                <w:color w:val="auto"/>
                <w:spacing w:val="-2"/>
                <w:sz w:val="15"/>
                <w:szCs w:val="15"/>
                <w:lang w:val="en-US" w:eastAsia="zh-CN"/>
              </w:rPr>
              <w:t>财务部</w:t>
            </w:r>
          </w:p>
        </w:tc>
        <w:tc>
          <w:tcPr>
            <w:tcW w:w="1142" w:type="dxa"/>
            <w:vAlign w:val="center"/>
          </w:tcPr>
          <w:p w14:paraId="7452B822">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税务及融资管理岗</w:t>
            </w:r>
          </w:p>
        </w:tc>
        <w:tc>
          <w:tcPr>
            <w:tcW w:w="520" w:type="dxa"/>
            <w:vAlign w:val="center"/>
          </w:tcPr>
          <w:p w14:paraId="634FC6B3">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1</w:t>
            </w:r>
          </w:p>
        </w:tc>
        <w:tc>
          <w:tcPr>
            <w:tcW w:w="8470" w:type="dxa"/>
            <w:vAlign w:val="center"/>
          </w:tcPr>
          <w:p w14:paraId="06CDA976">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1、负责制定税务管理制度以及税务筹划方案，上报领导审批。</w:t>
            </w:r>
          </w:p>
          <w:p w14:paraId="1037CBDF">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lang w:val="en-US" w:eastAsia="zh-CN"/>
              </w:rPr>
              <w:t>2</w:t>
            </w:r>
            <w:r>
              <w:rPr>
                <w:rFonts w:hint="eastAsia" w:ascii="仿宋" w:hAnsi="仿宋" w:eastAsia="仿宋" w:cs="仿宋"/>
                <w:color w:val="auto"/>
                <w:spacing w:val="-2"/>
                <w:sz w:val="15"/>
                <w:szCs w:val="15"/>
              </w:rPr>
              <w:t>、负责收集研究相关财税政策、法规，提供合理合法的避税方案，降低税收成本。</w:t>
            </w:r>
          </w:p>
          <w:p w14:paraId="03BA6E16">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3、负责日常的税务工作，包括税务登记、变更、注销，领购发票、核验发票，申扣个人所得税、办理纳税申报，缴纳税款等。</w:t>
            </w:r>
          </w:p>
          <w:p w14:paraId="581598CB">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4、负责配合税务机关稽查工作，维护所属税务机关的关系，为公司争取相关税收政策，保障公司利益。</w:t>
            </w:r>
          </w:p>
          <w:p w14:paraId="01553103">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5、负责拟定流动性银行贷款预测分析报告，制定融资预算。</w:t>
            </w:r>
          </w:p>
          <w:p w14:paraId="6013AA33">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6、负责制定融资计划，拟定融资方案，制定保理模式操作规范及说明开发适配的金融产品方案，报管理层审核。</w:t>
            </w:r>
          </w:p>
          <w:p w14:paraId="39B9C28F">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lang w:eastAsia="zh-CN"/>
              </w:rPr>
            </w:pPr>
            <w:r>
              <w:rPr>
                <w:rFonts w:hint="eastAsia" w:ascii="仿宋" w:hAnsi="仿宋" w:eastAsia="仿宋" w:cs="仿宋"/>
                <w:color w:val="auto"/>
                <w:spacing w:val="-2"/>
                <w:sz w:val="15"/>
                <w:szCs w:val="15"/>
              </w:rPr>
              <w:t>7、负责业务融资需求采集和审核</w:t>
            </w:r>
            <w:r>
              <w:rPr>
                <w:rFonts w:hint="eastAsia" w:ascii="仿宋" w:hAnsi="仿宋" w:eastAsia="仿宋" w:cs="仿宋"/>
                <w:color w:val="auto"/>
                <w:spacing w:val="-2"/>
                <w:sz w:val="15"/>
                <w:szCs w:val="15"/>
                <w:lang w:eastAsia="zh-CN"/>
              </w:rPr>
              <w:t>。</w:t>
            </w:r>
          </w:p>
          <w:p w14:paraId="1BFFED4F">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rPr>
              <w:t>8、负责了解业务亟待解决的资金需求，分析公司情况，找到适合公司发展的第三方金融机构，执行三方金融服务资源的开发对接</w:t>
            </w:r>
            <w:r>
              <w:rPr>
                <w:rFonts w:hint="eastAsia" w:ascii="仿宋" w:hAnsi="仿宋" w:eastAsia="仿宋" w:cs="仿宋"/>
                <w:color w:val="auto"/>
                <w:spacing w:val="-2"/>
                <w:sz w:val="15"/>
                <w:szCs w:val="15"/>
                <w:lang w:eastAsia="zh-CN"/>
              </w:rPr>
              <w:t>。</w:t>
            </w:r>
          </w:p>
          <w:p w14:paraId="5B282916">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rPr>
            </w:pPr>
            <w:r>
              <w:rPr>
                <w:rFonts w:hint="eastAsia" w:ascii="仿宋" w:hAnsi="仿宋" w:eastAsia="仿宋" w:cs="仿宋"/>
                <w:color w:val="auto"/>
                <w:spacing w:val="-2"/>
                <w:sz w:val="15"/>
                <w:szCs w:val="15"/>
                <w:lang w:val="en-US" w:eastAsia="zh-CN"/>
              </w:rPr>
              <w:t>9、</w:t>
            </w:r>
            <w:r>
              <w:rPr>
                <w:rFonts w:hint="eastAsia" w:ascii="仿宋" w:hAnsi="仿宋" w:eastAsia="仿宋" w:cs="仿宋"/>
                <w:color w:val="auto"/>
                <w:spacing w:val="-2"/>
                <w:sz w:val="15"/>
                <w:szCs w:val="15"/>
              </w:rPr>
              <w:t>公司交办的其他工作。</w:t>
            </w:r>
          </w:p>
        </w:tc>
        <w:tc>
          <w:tcPr>
            <w:tcW w:w="3013" w:type="dxa"/>
            <w:vAlign w:val="center"/>
          </w:tcPr>
          <w:p w14:paraId="24C38E3E">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highlight w:val="none"/>
                <w:lang w:val="en-US" w:eastAsia="zh-CN"/>
              </w:rPr>
            </w:pPr>
            <w:r>
              <w:rPr>
                <w:rFonts w:hint="eastAsia" w:ascii="仿宋" w:hAnsi="仿宋" w:eastAsia="仿宋" w:cs="仿宋"/>
                <w:color w:val="auto"/>
                <w:spacing w:val="-2"/>
                <w:sz w:val="15"/>
                <w:szCs w:val="15"/>
                <w:highlight w:val="none"/>
                <w:lang w:val="en-US" w:eastAsia="zh-CN"/>
              </w:rPr>
              <w:t>1、本科及以上学历，财务类相关专业；</w:t>
            </w:r>
          </w:p>
          <w:p w14:paraId="7F247717">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highlight w:val="none"/>
                <w:lang w:val="en-US" w:eastAsia="zh-CN"/>
              </w:rPr>
            </w:pPr>
            <w:r>
              <w:rPr>
                <w:rFonts w:hint="eastAsia" w:ascii="仿宋" w:hAnsi="仿宋" w:eastAsia="仿宋" w:cs="仿宋"/>
                <w:color w:val="auto"/>
                <w:spacing w:val="-2"/>
                <w:sz w:val="15"/>
                <w:szCs w:val="15"/>
                <w:highlight w:val="none"/>
                <w:lang w:val="en-US" w:eastAsia="zh-CN"/>
              </w:rPr>
              <w:t>2、具备中级会计师资格证；</w:t>
            </w:r>
          </w:p>
          <w:p w14:paraId="2AE766BD">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highlight w:val="none"/>
                <w:lang w:val="en-US" w:eastAsia="zh-CN"/>
              </w:rPr>
            </w:pPr>
            <w:r>
              <w:rPr>
                <w:rFonts w:hint="eastAsia" w:ascii="仿宋" w:hAnsi="仿宋" w:eastAsia="仿宋" w:cs="仿宋"/>
                <w:color w:val="auto"/>
                <w:spacing w:val="-2"/>
                <w:sz w:val="15"/>
                <w:szCs w:val="15"/>
                <w:highlight w:val="none"/>
                <w:lang w:val="en-US" w:eastAsia="zh-CN"/>
              </w:rPr>
              <w:t>3、具有3年及以上泰达控股所属企业(层级不限)相关管理岗位经验；</w:t>
            </w:r>
          </w:p>
          <w:p w14:paraId="541C10CF">
            <w:pPr>
              <w:keepNext w:val="0"/>
              <w:keepLines w:val="0"/>
              <w:pageBreakBefore w:val="0"/>
              <w:widowControl/>
              <w:kinsoku/>
              <w:wordWrap/>
              <w:overflowPunct/>
              <w:topLinePunct w:val="0"/>
              <w:autoSpaceDE/>
              <w:autoSpaceDN/>
              <w:bidi w:val="0"/>
              <w:adjustRightInd/>
              <w:snapToGrid/>
              <w:spacing w:line="240" w:lineRule="exact"/>
              <w:ind w:left="105" w:leftChars="50" w:right="105" w:rightChars="50"/>
              <w:jc w:val="both"/>
              <w:textAlignment w:val="auto"/>
              <w:rPr>
                <w:rFonts w:hint="eastAsia" w:ascii="仿宋" w:hAnsi="仿宋" w:eastAsia="仿宋" w:cs="仿宋"/>
                <w:color w:val="auto"/>
                <w:spacing w:val="-2"/>
                <w:sz w:val="15"/>
                <w:szCs w:val="15"/>
                <w:highlight w:val="none"/>
                <w:lang w:val="en-US" w:eastAsia="zh-CN"/>
              </w:rPr>
            </w:pPr>
            <w:r>
              <w:rPr>
                <w:rFonts w:hint="eastAsia" w:ascii="仿宋" w:hAnsi="仿宋" w:eastAsia="仿宋" w:cs="仿宋"/>
                <w:color w:val="auto"/>
                <w:spacing w:val="-2"/>
                <w:sz w:val="15"/>
                <w:szCs w:val="15"/>
                <w:highlight w:val="none"/>
                <w:lang w:val="en-US" w:eastAsia="zh-CN"/>
              </w:rPr>
              <w:t>4</w:t>
            </w:r>
            <w:r>
              <w:rPr>
                <w:rFonts w:hint="eastAsia" w:ascii="仿宋" w:hAnsi="仿宋" w:eastAsia="仿宋" w:cs="仿宋"/>
                <w:color w:val="auto"/>
                <w:spacing w:val="-2"/>
                <w:sz w:val="15"/>
                <w:szCs w:val="15"/>
                <w:highlight w:val="none"/>
                <w:lang w:eastAsia="zh-CN"/>
              </w:rPr>
              <w:t>、</w:t>
            </w:r>
            <w:r>
              <w:rPr>
                <w:rFonts w:hint="eastAsia" w:ascii="仿宋" w:hAnsi="仿宋" w:eastAsia="仿宋" w:cs="仿宋"/>
                <w:color w:val="auto"/>
                <w:spacing w:val="-2"/>
                <w:sz w:val="15"/>
                <w:szCs w:val="15"/>
                <w:highlight w:val="none"/>
              </w:rPr>
              <w:t>工作思路清晰，具有胜任岗位工作职责的能力和素质</w:t>
            </w:r>
            <w:r>
              <w:rPr>
                <w:rFonts w:hint="eastAsia" w:ascii="仿宋" w:hAnsi="仿宋" w:eastAsia="仿宋" w:cs="仿宋"/>
                <w:color w:val="auto"/>
                <w:spacing w:val="-2"/>
                <w:sz w:val="15"/>
                <w:szCs w:val="15"/>
                <w:highlight w:val="none"/>
                <w:lang w:eastAsia="zh-CN"/>
              </w:rPr>
              <w:t>。</w:t>
            </w:r>
          </w:p>
        </w:tc>
      </w:tr>
    </w:tbl>
    <w:p w14:paraId="130F420A">
      <w:pPr>
        <w:rPr>
          <w:rFonts w:ascii="仿宋" w:hAnsi="仿宋" w:eastAsia="仿宋" w:cs="仿宋"/>
          <w:sz w:val="28"/>
          <w:szCs w:val="28"/>
        </w:rPr>
      </w:pPr>
    </w:p>
    <w:p w14:paraId="592E349E"/>
    <w:sectPr>
      <w:footerReference r:id="rId3" w:type="default"/>
      <w:pgSz w:w="16838" w:h="11905" w:orient="landscape"/>
      <w:pgMar w:top="1134" w:right="1474" w:bottom="567" w:left="1587" w:header="850" w:footer="992" w:gutter="0"/>
      <w:cols w:space="0" w:num="1"/>
      <w:titlePg/>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E1556">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93C494C">
                          <w:pPr>
                            <w:pStyle w:val="2"/>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34oms6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Xb8f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N+KJrOgIAAHEEAAAOAAAAAAAAAAEAIAAAAB8BAABkcnMvZTJvRG9j&#10;LnhtbFBLBQYAAAAABgAGAFkBAADLBQAAAAA=&#10;">
              <v:fill on="f" focussize="0,0"/>
              <v:stroke on="f" weight="0.5pt"/>
              <v:imagedata o:title=""/>
              <o:lock v:ext="edit" aspectratio="f"/>
              <v:textbox inset="0mm,0mm,0mm,0mm" style="mso-fit-shape-to-text:t;">
                <w:txbxContent>
                  <w:p w14:paraId="593C494C">
                    <w:pPr>
                      <w:pStyle w:val="2"/>
                    </w:pPr>
                    <w:r>
                      <w:fldChar w:fldCharType="begin"/>
                    </w:r>
                    <w:r>
                      <w:instrText xml:space="preserve"> PAGE  \* MERGEFORMAT </w:instrText>
                    </w:r>
                    <w:r>
                      <w:fldChar w:fldCharType="separate"/>
                    </w:r>
                    <w:r>
                      <w:t>79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AE0125"/>
    <w:rsid w:val="03B31E46"/>
    <w:rsid w:val="04967B58"/>
    <w:rsid w:val="1B893AC9"/>
    <w:rsid w:val="241B36F5"/>
    <w:rsid w:val="24FC45EB"/>
    <w:rsid w:val="2A8C3C07"/>
    <w:rsid w:val="31576DD1"/>
    <w:rsid w:val="39B87737"/>
    <w:rsid w:val="428D254A"/>
    <w:rsid w:val="52235D3D"/>
    <w:rsid w:val="54545907"/>
    <w:rsid w:val="58DC4756"/>
    <w:rsid w:val="63B94D6F"/>
    <w:rsid w:val="64B12BF5"/>
    <w:rsid w:val="6AAE0125"/>
    <w:rsid w:val="78E37B67"/>
    <w:rsid w:val="7BBE519A"/>
    <w:rsid w:val="7FAC2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table" w:customStyle="1" w:styleId="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1460</Words>
  <Characters>1462</Characters>
  <Lines>0</Lines>
  <Paragraphs>0</Paragraphs>
  <TotalTime>2</TotalTime>
  <ScaleCrop>false</ScaleCrop>
  <LinksUpToDate>false</LinksUpToDate>
  <CharactersWithSpaces>1462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2026-04-24T02:54:00Z</dcterms:created>
  <dc:creator>霍姝羽</dc:creator>
  <cp:lastModifiedBy>霍姝羽</cp:lastModifiedBy>
  <dcterms:modified xsi:type="dcterms:W3CDTF">2026-06-12T00:56:52Z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DB812597DAB04ABBA6ED0000800D850C_13</vt:lpwstr>
  </property>
  <property fmtid="{D5CDD505-2E9C-101B-9397-08002B2CF9AE}" pid="4" name="KSOTemplateDocerSaveRecord">
    <vt:lpwstr>eyJoZGlkIjoiMDFjNzcxNWI2NDQ0N2QzNzVjNDMyYWUyZWE4ODBlMjMiLCJ1c2VySWQiOiIyNzYxNDE4NjcifQ==</vt:lpwstr>
  </property>
</Properties>
</file>