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9D1A">
      <w:pPr>
        <w:pStyle w:val="2"/>
        <w:widowControl/>
        <w:rPr>
          <w:rFonts w:cs="Times New Roman"/>
          <w:szCs w:val="36"/>
        </w:rPr>
      </w:pPr>
      <w:bookmarkStart w:id="0" w:name="_Toc126839867"/>
      <w:r>
        <w:rPr>
          <w:rFonts w:hint="eastAsia" w:cs="华文中宋"/>
        </w:rPr>
        <w:t>天津泰达集团有限公司</w:t>
      </w:r>
      <w:bookmarkEnd w:id="0"/>
      <w:r>
        <w:rPr>
          <w:rFonts w:hint="eastAsia" w:cs="华文中宋"/>
          <w:lang w:val="en-US" w:eastAsia="zh-CN"/>
        </w:rPr>
        <w:t>管理培训生招聘</w:t>
      </w:r>
      <w:r>
        <w:rPr>
          <w:rFonts w:hint="eastAsia" w:cs="Times New Roman"/>
          <w:szCs w:val="36"/>
        </w:rPr>
        <w:t>公告</w:t>
      </w:r>
    </w:p>
    <w:p w14:paraId="57AD9EAC">
      <w:pPr>
        <w:ind w:firstLine="640"/>
      </w:pPr>
      <w:bookmarkStart w:id="1" w:name="_Toc126839868"/>
    </w:p>
    <w:p w14:paraId="0B571D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一、公司简介</w:t>
      </w:r>
    </w:p>
    <w:p w14:paraId="76837E6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 w:val="0"/>
          <w:bCs w:val="0"/>
        </w:rPr>
        <w:t>天津泰达集团有限公司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简称“泰达集团”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）</w:t>
      </w:r>
      <w:r>
        <w:rPr>
          <w:rFonts w:hint="eastAsia" w:ascii="仿宋" w:hAnsi="仿宋" w:eastAsia="仿宋" w:cs="仿宋"/>
        </w:rPr>
        <w:t>始创于1994年，</w:t>
      </w:r>
      <w:r>
        <w:rPr>
          <w:rFonts w:hint="eastAsia" w:ascii="仿宋" w:hAnsi="仿宋" w:eastAsia="仿宋" w:cs="仿宋"/>
          <w:sz w:val="32"/>
          <w:szCs w:val="32"/>
        </w:rPr>
        <w:t>是经天津市委、市政府批准组建的综合性大型国有企业，注册资本金133.4亿元。作为泰达控股战略布局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子集团，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公司聚焦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土地综合开发、商业文旅运营、软件园区投资运营与信创产业孵化三大主责主业</w:t>
      </w:r>
      <w:r>
        <w:rPr>
          <w:rFonts w:hint="eastAsia" w:ascii="仿宋" w:hAnsi="仿宋" w:eastAsia="仿宋" w:cs="仿宋"/>
          <w:sz w:val="32"/>
          <w:szCs w:val="32"/>
        </w:rPr>
        <w:t>，坚持“以开发为基础、以产业为核心、以运营为根本”的发展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模式</w:t>
      </w:r>
      <w:r>
        <w:rPr>
          <w:rFonts w:hint="eastAsia" w:ascii="仿宋" w:hAnsi="仿宋" w:eastAsia="仿宋" w:cs="仿宋"/>
          <w:sz w:val="32"/>
          <w:szCs w:val="32"/>
        </w:rPr>
        <w:t>，创新迈进市场化、可持续、高质量发展轨道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F99ECA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 w:ascii="黑体" w:hAnsi="黑体" w:cs="黑体"/>
          <w:lang w:val="en-US" w:eastAsia="zh-CN"/>
        </w:rPr>
        <w:t>招聘岗位及人数</w:t>
      </w:r>
    </w:p>
    <w:p w14:paraId="0C6DFBD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管理培训生：20人。</w:t>
      </w:r>
    </w:p>
    <w:p w14:paraId="7B39B3CA"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岗位职责</w:t>
      </w:r>
    </w:p>
    <w:p w14:paraId="31F6E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根据培养计划，在培养单位核心部门进行定期轮岗，全面了解公司业务流程与运行模式；</w:t>
      </w:r>
    </w:p>
    <w:p w14:paraId="2AFEB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在轮岗期间，深入业务一线，掌握岗位所需的专业知识和实操技能，按时完成轮岗部门布置的各项工作任务；</w:t>
      </w:r>
    </w:p>
    <w:p w14:paraId="12DDE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在日常工作中主动发现现有业务流程中存在的问题或瓶颈，提出优化方案；</w:t>
      </w:r>
    </w:p>
    <w:p w14:paraId="45284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协助部门负责人进行流程梳理、制度建设及跨部门协调沟通工作；</w:t>
      </w:r>
    </w:p>
    <w:p w14:paraId="0D463C0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完成领导交办的其他工作。</w:t>
      </w:r>
    </w:p>
    <w:p w14:paraId="3BDD54D0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四、招聘条件</w:t>
      </w:r>
    </w:p>
    <w:bookmarkEnd w:id="1"/>
    <w:p w14:paraId="75B70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（一）基本条件</w:t>
      </w:r>
    </w:p>
    <w:p w14:paraId="30270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1.教育背景：全日制硕士研究生及以上学历应届毕业生或毕业1年以内未就业的毕业生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 w14:paraId="582D7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2.年龄：硕士研究生年龄不超过28周岁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（199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月及以后出生）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，博士研究生年龄不超过30周岁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（199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月及以后出生）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D77A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.拥护党的路线方针政策，思想政治素质好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 w14:paraId="4A1E6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品学兼优，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在校期间成绩优良，无挂科、无不良记录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具有优秀的综合素质和发展潜力，符合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泰达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集团发展战略需要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 w14:paraId="44AC0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5.符合有关法律法规规定的其他资格，符合任职回避有关规定，具有良好的心理素质和正常履行职责的身体条件。</w:t>
      </w:r>
    </w:p>
    <w:p w14:paraId="5EBDA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从事党建相关工作的，须为中共党员。</w:t>
      </w:r>
    </w:p>
    <w:p w14:paraId="62DA5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（二）专业要求</w:t>
      </w:r>
    </w:p>
    <w:p w14:paraId="78907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1.业务方向：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科技创新、数字经济、城市开发运营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金融投资、招商运营、资产管理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、经济学等相关专业。</w:t>
      </w:r>
    </w:p>
    <w:p w14:paraId="66EB7F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仿宋_GB231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2.管理方向：行政管理、企业管理、马克思主义哲学、新闻学、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财务管理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法务合规、安全生产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等相关专业。</w:t>
      </w:r>
    </w:p>
    <w:p w14:paraId="1216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2" w:name="_Toc12683987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（三）以下人员不得参加应聘</w:t>
      </w:r>
    </w:p>
    <w:p w14:paraId="03656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1.学历、学位、学籍、党员身份等关键信息造假，诚信素养缺失；</w:t>
      </w:r>
    </w:p>
    <w:p w14:paraId="19128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2.存在违法违纪记录、征信严重失信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社会不良记录情况；</w:t>
      </w:r>
    </w:p>
    <w:p w14:paraId="553BE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3.存在重大违纪、失职、负面舆情等不良记录，职业作风较差，学术不端，品行不达标等情况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 w14:paraId="5FE965E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cs="黑体"/>
          <w:lang w:val="en-US" w:eastAsia="zh-CN"/>
        </w:rPr>
      </w:pPr>
      <w:r>
        <w:rPr>
          <w:rFonts w:hint="eastAsia" w:ascii="黑体" w:hAnsi="黑体" w:cs="黑体"/>
          <w:lang w:val="en-US" w:eastAsia="zh-CN"/>
        </w:rPr>
        <w:t>五</w:t>
      </w:r>
      <w:r>
        <w:rPr>
          <w:rFonts w:hint="eastAsia" w:ascii="黑体" w:hAnsi="黑体" w:eastAsia="黑体" w:cs="黑体"/>
        </w:rPr>
        <w:t>、</w:t>
      </w:r>
      <w:r>
        <w:rPr>
          <w:rFonts w:hint="eastAsia" w:ascii="黑体" w:hAnsi="黑体" w:cs="黑体"/>
          <w:lang w:val="en-US" w:eastAsia="zh-CN"/>
        </w:rPr>
        <w:t>招聘程序</w:t>
      </w:r>
    </w:p>
    <w:p w14:paraId="0D4D93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发布公告-报名申请-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简历筛选-综合评价-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-确定人选-体检-入职</w:t>
      </w:r>
    </w:p>
    <w:p w14:paraId="0ADEA40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cs="黑体"/>
          <w:lang w:val="en-US" w:eastAsia="zh-CN"/>
        </w:rPr>
        <w:t>六、</w:t>
      </w:r>
      <w:r>
        <w:rPr>
          <w:rFonts w:hint="eastAsia" w:ascii="黑体" w:hAnsi="黑体" w:eastAsia="黑体" w:cs="黑体"/>
        </w:rPr>
        <w:t>报名程序</w:t>
      </w:r>
      <w:bookmarkEnd w:id="2"/>
    </w:p>
    <w:p w14:paraId="1B29CA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一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报名时间：</w:t>
      </w:r>
      <w:r>
        <w:rPr>
          <w:rFonts w:hint="eastAsia" w:ascii="仿宋" w:hAnsi="仿宋" w:eastAsia="仿宋" w:cs="仿宋"/>
          <w:lang w:val="en-US" w:eastAsia="zh-CN"/>
        </w:rPr>
        <w:t>2026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日至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eastAsia="zh-CN"/>
        </w:rPr>
        <w:t>，逾期报名不再受理</w:t>
      </w:r>
      <w:r>
        <w:rPr>
          <w:rFonts w:hint="eastAsia" w:ascii="仿宋" w:hAnsi="仿宋" w:eastAsia="仿宋" w:cs="仿宋"/>
        </w:rPr>
        <w:t>。</w:t>
      </w:r>
    </w:p>
    <w:p w14:paraId="47D031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报名方式：邮箱报名，</w:t>
      </w:r>
      <w:r>
        <w:rPr>
          <w:rFonts w:hint="eastAsia" w:ascii="仿宋" w:hAnsi="仿宋" w:eastAsia="仿宋" w:cs="仿宋"/>
          <w:sz w:val="32"/>
          <w:szCs w:val="32"/>
        </w:rPr>
        <w:t>应聘者</w:t>
      </w:r>
      <w:r>
        <w:rPr>
          <w:rFonts w:hint="eastAsia" w:ascii="仿宋" w:hAnsi="仿宋" w:eastAsia="仿宋" w:cs="仿宋"/>
        </w:rPr>
        <w:t>将报名材料发送至指定邮箱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</w:rPr>
        <w:t>tdjthr@tedagroup.com.cn，邮件发送标题格式为：</w:t>
      </w:r>
      <w:r>
        <w:rPr>
          <w:rFonts w:hint="eastAsia" w:ascii="仿宋" w:hAnsi="仿宋" w:eastAsia="仿宋" w:cs="仿宋"/>
          <w:lang w:val="en-US" w:eastAsia="zh-CN"/>
        </w:rPr>
        <w:t>管理培训生</w:t>
      </w:r>
      <w:r>
        <w:rPr>
          <w:rFonts w:hint="eastAsia" w:ascii="仿宋" w:hAnsi="仿宋" w:eastAsia="仿宋" w:cs="仿宋"/>
        </w:rPr>
        <w:t>+</w:t>
      </w:r>
      <w:r>
        <w:rPr>
          <w:rFonts w:hint="eastAsia" w:ascii="仿宋" w:hAnsi="仿宋" w:eastAsia="仿宋" w:cs="仿宋"/>
          <w:lang w:val="en-US" w:eastAsia="zh-CN"/>
        </w:rPr>
        <w:t>培养方向+</w:t>
      </w:r>
      <w:r>
        <w:rPr>
          <w:rFonts w:hint="eastAsia" w:ascii="仿宋" w:hAnsi="仿宋" w:eastAsia="仿宋" w:cs="仿宋"/>
        </w:rPr>
        <w:t>姓名。</w:t>
      </w:r>
      <w:r>
        <w:rPr>
          <w:rFonts w:hint="eastAsia" w:ascii="仿宋" w:hAnsi="仿宋" w:eastAsia="仿宋" w:cs="仿宋"/>
          <w:lang w:val="en-US" w:eastAsia="zh-CN"/>
        </w:rPr>
        <w:t>培养方向分为业务方向和管理方向两类，报名者可以根据擅长专业及未来发展规划选择1个。</w:t>
      </w:r>
    </w:p>
    <w:p w14:paraId="3837D79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报名材料</w:t>
      </w:r>
    </w:p>
    <w:p w14:paraId="169BD2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_GB2312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1.下载填写报名表（详见附件1），并粘贴1寸近期免冠彩色电子照片1张（电子版及手写签字扫描件）</w:t>
      </w:r>
      <w:r>
        <w:rPr>
          <w:rFonts w:hint="eastAsia" w:ascii="仿宋" w:hAnsi="仿宋" w:eastAsia="仿宋" w:cs="仿宋"/>
        </w:rPr>
        <w:t>、</w:t>
      </w:r>
      <w:r>
        <w:rPr>
          <w:rFonts w:hint="eastAsia"/>
          <w:highlight w:val="none"/>
          <w:lang w:val="en-US" w:eastAsia="zh-CN"/>
        </w:rPr>
        <w:t>泰达控股</w:t>
      </w:r>
      <w:r>
        <w:rPr>
          <w:rFonts w:hint="eastAsia"/>
          <w:highlight w:val="none"/>
        </w:rPr>
        <w:t>系统内亲属关系信息采集表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手写签字</w:t>
      </w:r>
      <w:r>
        <w:rPr>
          <w:rFonts w:hint="eastAsia" w:ascii="仿宋" w:hAnsi="仿宋" w:eastAsia="仿宋" w:cs="仿宋"/>
        </w:rPr>
        <w:t>扫描件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/>
          <w:lang w:eastAsia="zh-CN"/>
        </w:rPr>
        <w:t>。</w:t>
      </w:r>
    </w:p>
    <w:p w14:paraId="66088F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身份证和学生证扫描件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64907E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3.本科阶段学习经历</w:t>
      </w:r>
      <w:r>
        <w:rPr>
          <w:rFonts w:hint="eastAsia" w:ascii="仿宋" w:hAnsi="仿宋" w:eastAsia="仿宋" w:cs="仿宋"/>
        </w:rPr>
        <w:t>证明</w:t>
      </w:r>
      <w:r>
        <w:rPr>
          <w:rFonts w:hint="eastAsia" w:ascii="仿宋" w:hAnsi="仿宋" w:eastAsia="仿宋" w:cs="仿宋"/>
          <w:lang w:eastAsia="zh-CN"/>
        </w:rPr>
        <w:t>。本科学历学位证书扫描件、教育部学信网</w:t>
      </w:r>
      <w:r>
        <w:rPr>
          <w:rFonts w:hint="eastAsia" w:ascii="仿宋" w:hAnsi="仿宋" w:eastAsia="仿宋" w:cs="仿宋"/>
          <w:lang w:val="en-US" w:eastAsia="zh-CN"/>
        </w:rPr>
        <w:t>学历学位认证</w:t>
      </w:r>
      <w:r>
        <w:rPr>
          <w:rFonts w:hint="eastAsia" w:ascii="仿宋" w:hAnsi="仿宋" w:eastAsia="仿宋" w:cs="仿宋"/>
          <w:lang w:eastAsia="zh-CN"/>
        </w:rPr>
        <w:t>报告扫描件。</w:t>
      </w:r>
      <w:r>
        <w:rPr>
          <w:rFonts w:hint="eastAsia" w:ascii="仿宋" w:hAnsi="仿宋" w:eastAsia="仿宋" w:cs="仿宋"/>
        </w:rPr>
        <w:t>如涉及国外学历学位的还需提供教育部留学服务中心认证报告</w:t>
      </w:r>
      <w:r>
        <w:rPr>
          <w:rFonts w:hint="eastAsia" w:ascii="仿宋" w:hAnsi="仿宋" w:eastAsia="仿宋" w:cs="仿宋"/>
          <w:lang w:val="en-US" w:eastAsia="zh-CN"/>
        </w:rPr>
        <w:t>扫描件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210C44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4.研究生阶段学习经历</w:t>
      </w:r>
      <w:r>
        <w:rPr>
          <w:rFonts w:hint="eastAsia" w:ascii="仿宋" w:hAnsi="仿宋" w:eastAsia="仿宋" w:cs="仿宋"/>
        </w:rPr>
        <w:t>证明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  <w:lang w:val="en-US" w:eastAsia="zh-CN"/>
        </w:rPr>
        <w:t>研究生</w:t>
      </w:r>
      <w:r>
        <w:rPr>
          <w:rFonts w:hint="eastAsia" w:ascii="仿宋" w:hAnsi="仿宋" w:eastAsia="仿宋" w:cs="仿宋"/>
          <w:lang w:eastAsia="zh-CN"/>
        </w:rPr>
        <w:t>学历学位证书扫描件（</w:t>
      </w:r>
      <w:r>
        <w:rPr>
          <w:rFonts w:hint="eastAsia" w:ascii="仿宋" w:hAnsi="仿宋" w:eastAsia="仿宋" w:cs="仿宋"/>
          <w:lang w:val="en-US" w:eastAsia="zh-CN"/>
        </w:rPr>
        <w:t>如尚未取得可暂不提供</w:t>
      </w:r>
      <w:r>
        <w:rPr>
          <w:rFonts w:hint="eastAsia" w:ascii="仿宋" w:hAnsi="仿宋" w:eastAsia="仿宋" w:cs="仿宋"/>
          <w:lang w:eastAsia="zh-CN"/>
        </w:rPr>
        <w:t>）、</w:t>
      </w:r>
      <w:r>
        <w:rPr>
          <w:rFonts w:hint="eastAsia" w:ascii="仿宋" w:hAnsi="仿宋" w:eastAsia="仿宋" w:cs="仿宋"/>
          <w:highlight w:val="none"/>
          <w:lang w:eastAsia="zh-CN"/>
        </w:rPr>
        <w:t>教育部学信网</w:t>
      </w:r>
      <w:r>
        <w:rPr>
          <w:rFonts w:hint="eastAsia" w:ascii="仿宋" w:hAnsi="仿宋" w:eastAsia="仿宋" w:cs="仿宋"/>
          <w:highlight w:val="none"/>
          <w:lang w:val="en-US" w:eastAsia="zh-CN"/>
        </w:rPr>
        <w:t>学历学位认证</w:t>
      </w:r>
      <w:r>
        <w:rPr>
          <w:rFonts w:hint="eastAsia" w:ascii="仿宋" w:hAnsi="仿宋" w:eastAsia="仿宋" w:cs="仿宋"/>
          <w:highlight w:val="none"/>
          <w:lang w:eastAsia="zh-CN"/>
        </w:rPr>
        <w:t>报告</w:t>
      </w:r>
      <w:r>
        <w:rPr>
          <w:rFonts w:hint="eastAsia" w:ascii="仿宋" w:hAnsi="仿宋" w:eastAsia="仿宋" w:cs="仿宋"/>
          <w:highlight w:val="none"/>
          <w:lang w:val="en-US" w:eastAsia="zh-CN"/>
        </w:rPr>
        <w:t>或学籍在线验证报告</w:t>
      </w:r>
      <w:r>
        <w:rPr>
          <w:rFonts w:hint="eastAsia" w:ascii="仿宋" w:hAnsi="仿宋" w:eastAsia="仿宋" w:cs="仿宋"/>
          <w:highlight w:val="none"/>
          <w:lang w:eastAsia="zh-CN"/>
        </w:rPr>
        <w:t>扫描</w:t>
      </w:r>
      <w:r>
        <w:rPr>
          <w:rFonts w:hint="eastAsia" w:ascii="仿宋" w:hAnsi="仿宋" w:eastAsia="仿宋" w:cs="仿宋"/>
          <w:lang w:eastAsia="zh-CN"/>
        </w:rPr>
        <w:t>件。</w:t>
      </w:r>
      <w:r>
        <w:rPr>
          <w:rFonts w:hint="eastAsia" w:ascii="仿宋" w:hAnsi="仿宋" w:eastAsia="仿宋" w:cs="仿宋"/>
        </w:rPr>
        <w:t>如涉及国外学历学位的还需提供教育部留学服务中心认证报告</w:t>
      </w:r>
      <w:r>
        <w:rPr>
          <w:rFonts w:hint="eastAsia" w:ascii="仿宋" w:hAnsi="仿宋" w:eastAsia="仿宋" w:cs="仿宋"/>
          <w:lang w:val="en-US" w:eastAsia="zh-CN"/>
        </w:rPr>
        <w:t>扫描件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6DD661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5.当前学历阶段学习成绩证明。</w:t>
      </w:r>
      <w:bookmarkStart w:id="3" w:name="_GoBack"/>
      <w:bookmarkEnd w:id="3"/>
      <w:r>
        <w:rPr>
          <w:rFonts w:hint="eastAsia" w:ascii="仿宋" w:hAnsi="仿宋" w:eastAsia="仿宋" w:cs="仿宋"/>
          <w:lang w:val="en-US" w:eastAsia="zh-CN"/>
        </w:rPr>
        <w:t>学校出具的当前学历阶段学生成绩单扫描件（须带有学校有关部门公章）。</w:t>
      </w:r>
    </w:p>
    <w:p w14:paraId="603C19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6.其他相关证明材料扫描件（职（执）业资格、职业技能等级证明、专利、工作成果、获奖证书等）</w:t>
      </w:r>
      <w:r>
        <w:rPr>
          <w:rFonts w:hint="eastAsia" w:ascii="仿宋" w:hAnsi="仿宋" w:eastAsia="仿宋" w:cs="仿宋"/>
        </w:rPr>
        <w:t>。</w:t>
      </w:r>
    </w:p>
    <w:p w14:paraId="60BDAF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报名材料第1-5项为必须提供的证明材料，材料缺失、不全者，视为报名无效。</w:t>
      </w:r>
    </w:p>
    <w:p w14:paraId="4B402C1B">
      <w:pPr>
        <w:pStyle w:val="3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cs="黑体"/>
          <w:lang w:val="en-US" w:eastAsia="zh-CN"/>
        </w:rPr>
      </w:pPr>
      <w:r>
        <w:rPr>
          <w:rFonts w:hint="eastAsia" w:ascii="黑体" w:hAnsi="黑体" w:cs="黑体"/>
          <w:lang w:val="en-US" w:eastAsia="zh-CN"/>
        </w:rPr>
        <w:t>薪酬福利</w:t>
      </w:r>
    </w:p>
    <w:p w14:paraId="3A2E8E7E"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为充分吸纳优质青年人才，保障管理培训生职业发展与权益，公司为入职管培生提供</w:t>
      </w:r>
      <w:r>
        <w:rPr>
          <w:rFonts w:hint="eastAsia"/>
          <w:lang w:val="en-US" w:eastAsia="zh-CN"/>
        </w:rPr>
        <w:t>具有市场竞争力</w:t>
      </w:r>
      <w:r>
        <w:rPr>
          <w:rFonts w:hint="default"/>
          <w:lang w:val="en-US" w:eastAsia="zh-CN"/>
        </w:rPr>
        <w:t>的薪酬</w:t>
      </w:r>
      <w:r>
        <w:rPr>
          <w:rFonts w:hint="eastAsia"/>
          <w:lang w:val="en-US" w:eastAsia="zh-CN"/>
        </w:rPr>
        <w:t>及五险一金、补充公积金、补充医疗保险、企业年金等福利保障。</w:t>
      </w:r>
    </w:p>
    <w:p w14:paraId="31FB5A4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  <w:r>
        <w:rPr>
          <w:rFonts w:hint="eastAsia" w:ascii="黑体" w:hAnsi="黑体" w:cs="黑体"/>
          <w:lang w:val="en-US" w:eastAsia="zh-CN"/>
        </w:rPr>
        <w:t>八、相关说明</w:t>
      </w:r>
    </w:p>
    <w:p w14:paraId="3CC952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2"/>
        </w:rPr>
        <w:t>1.应聘人员应对所提交材料的真实性、完整性负责，对</w:t>
      </w:r>
      <w:r>
        <w:rPr>
          <w:rFonts w:hint="eastAsia" w:ascii="仿宋" w:hAnsi="仿宋" w:eastAsia="仿宋" w:cs="仿宋"/>
          <w:szCs w:val="22"/>
          <w:lang w:val="en-US" w:eastAsia="zh-CN"/>
        </w:rPr>
        <w:t>应聘</w:t>
      </w:r>
      <w:r>
        <w:rPr>
          <w:rFonts w:hint="eastAsia" w:ascii="仿宋" w:hAnsi="仿宋" w:eastAsia="仿宋" w:cs="仿宋"/>
          <w:szCs w:val="22"/>
        </w:rPr>
        <w:t>人员的资格审查贯穿于招聘工作的全过程，在招聘的任何阶段发现</w:t>
      </w:r>
      <w:r>
        <w:rPr>
          <w:rFonts w:hint="eastAsia" w:ascii="仿宋" w:hAnsi="仿宋" w:eastAsia="仿宋" w:cs="仿宋"/>
          <w:szCs w:val="22"/>
          <w:lang w:val="en-US" w:eastAsia="zh-CN"/>
        </w:rPr>
        <w:t>应聘</w:t>
      </w:r>
      <w:r>
        <w:rPr>
          <w:rFonts w:hint="eastAsia" w:ascii="仿宋" w:hAnsi="仿宋" w:eastAsia="仿宋" w:cs="仿宋"/>
          <w:szCs w:val="22"/>
        </w:rPr>
        <w:t>人员不符合报考条件或有弄虚作假行为的，公司有权取消应聘资格。</w:t>
      </w:r>
    </w:p>
    <w:p w14:paraId="60189D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2"/>
        </w:rPr>
        <w:t>2.资格初步审查结果、面试时间及地点将通过邮件等方式告知，请应聘人员提供准确的邮箱地址并及时查收。</w:t>
      </w:r>
    </w:p>
    <w:p w14:paraId="46DCA7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szCs w:val="22"/>
        </w:rPr>
      </w:pPr>
      <w:r>
        <w:rPr>
          <w:rFonts w:hint="eastAsia" w:ascii="仿宋" w:hAnsi="仿宋" w:eastAsia="仿宋" w:cs="仿宋"/>
          <w:szCs w:val="22"/>
        </w:rPr>
        <w:t>3.公司对应聘人员信息及提交的材料严格保密，不做他用，恕不退还。</w:t>
      </w:r>
    </w:p>
    <w:p w14:paraId="3AB304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069E23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咨询电话：</w:t>
      </w:r>
      <w:r>
        <w:rPr>
          <w:rFonts w:hint="eastAsia" w:ascii="仿宋" w:hAnsi="仿宋" w:eastAsia="仿宋" w:cs="仿宋"/>
          <w:color w:val="auto"/>
          <w:u w:val="none"/>
          <w:lang w:val="en-US" w:eastAsia="zh-CN"/>
        </w:rPr>
        <w:t>25265823</w:t>
      </w:r>
      <w:r>
        <w:rPr>
          <w:rFonts w:hint="eastAsia" w:ascii="仿宋" w:hAnsi="仿宋" w:eastAsia="仿宋" w:cs="仿宋"/>
        </w:rPr>
        <w:t>，65228156</w:t>
      </w:r>
      <w:r>
        <w:rPr>
          <w:rFonts w:hint="eastAsia" w:ascii="仿宋" w:hAnsi="仿宋" w:eastAsia="仿宋" w:cs="仿宋"/>
          <w:lang w:eastAsia="zh-CN"/>
        </w:rPr>
        <w:t>；</w:t>
      </w:r>
    </w:p>
    <w:p w14:paraId="4A2928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咨询时间：上午9:00-11:30，下午13:30-17:00</w:t>
      </w:r>
    </w:p>
    <w:p w14:paraId="29A543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 xml:space="preserve">                </w:t>
      </w:r>
    </w:p>
    <w:p w14:paraId="3B215C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u w:val="single"/>
        </w:rPr>
      </w:pPr>
    </w:p>
    <w:p w14:paraId="792239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附件1：</w:t>
      </w:r>
      <w:r>
        <w:rPr>
          <w:rFonts w:hint="eastAsia" w:ascii="仿宋" w:hAnsi="仿宋" w:eastAsia="仿宋" w:cs="仿宋"/>
        </w:rPr>
        <w:t>泰达集团</w:t>
      </w:r>
      <w:r>
        <w:rPr>
          <w:rFonts w:hint="eastAsia" w:ascii="仿宋" w:hAnsi="仿宋" w:eastAsia="仿宋" w:cs="仿宋"/>
          <w:lang w:val="en-US" w:eastAsia="zh-CN"/>
        </w:rPr>
        <w:t>管理培训生招聘</w:t>
      </w:r>
      <w:r>
        <w:rPr>
          <w:rFonts w:hint="eastAsia" w:ascii="仿宋" w:hAnsi="仿宋" w:eastAsia="仿宋" w:cs="仿宋"/>
        </w:rPr>
        <w:t>报名表</w:t>
      </w:r>
    </w:p>
    <w:p w14:paraId="2A21E0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填表说明</w:t>
      </w:r>
    </w:p>
    <w:p w14:paraId="5DF8BA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：</w:t>
      </w:r>
      <w:r>
        <w:rPr>
          <w:rFonts w:hint="eastAsia"/>
          <w:highlight w:val="none"/>
          <w:lang w:val="en-US" w:eastAsia="zh-CN"/>
        </w:rPr>
        <w:t>泰达控股</w:t>
      </w:r>
      <w:r>
        <w:rPr>
          <w:rFonts w:hint="eastAsia"/>
        </w:rPr>
        <w:t>系统内亲属关系信息采集表</w:t>
      </w:r>
    </w:p>
    <w:p w14:paraId="4B2DB5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lang w:val="en-US" w:eastAsia="zh-CN"/>
        </w:rPr>
        <w:t>个人简介（提纲及格式）</w:t>
      </w:r>
    </w:p>
    <w:p w14:paraId="4EB8D9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40" w:right="1800" w:bottom="1440" w:left="1800" w:header="340" w:footer="454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70414"/>
      <w:docPartObj>
        <w:docPartGallery w:val="autotext"/>
      </w:docPartObj>
    </w:sdtPr>
    <w:sdtContent>
      <w:p w14:paraId="2E675568">
        <w:pPr>
          <w:pStyle w:val="6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46F0F2D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7C8A4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4B44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16684">
    <w:pPr>
      <w:pStyle w:val="7"/>
      <w:spacing w:line="240" w:lineRule="auto"/>
      <w:ind w:left="-1440" w:leftChars="-450" w:right="-800" w:rightChars="-250" w:firstLine="0" w:firstLineChars="0"/>
      <w:jc w:val="left"/>
      <w:rPr>
        <w:sz w:val="24"/>
        <w:szCs w:val="24"/>
      </w:rPr>
    </w:pPr>
    <w:r>
      <w:drawing>
        <wp:inline distT="0" distB="0" distL="0" distR="0">
          <wp:extent cx="3042920" cy="488315"/>
          <wp:effectExtent l="19050" t="0" r="4873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969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 xml:space="preserve">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DC7F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E87C4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9EDC3"/>
    <w:multiLevelType w:val="singleLevel"/>
    <w:tmpl w:val="4799ED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F89E5A"/>
    <w:multiLevelType w:val="singleLevel"/>
    <w:tmpl w:val="6EF89E5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WIyZWNlN2I5ZTAzOWU3NmIyZjkxNTE3YmY4YTcifQ=="/>
  </w:docVars>
  <w:rsids>
    <w:rsidRoot w:val="00B94E7C"/>
    <w:rsid w:val="00024497"/>
    <w:rsid w:val="00073730"/>
    <w:rsid w:val="00150D43"/>
    <w:rsid w:val="00152EDA"/>
    <w:rsid w:val="002364E9"/>
    <w:rsid w:val="00245078"/>
    <w:rsid w:val="002B36C1"/>
    <w:rsid w:val="00305B96"/>
    <w:rsid w:val="003203F9"/>
    <w:rsid w:val="004166BE"/>
    <w:rsid w:val="00441AB4"/>
    <w:rsid w:val="004771CB"/>
    <w:rsid w:val="004A07B0"/>
    <w:rsid w:val="004B592D"/>
    <w:rsid w:val="004E4D32"/>
    <w:rsid w:val="004F01D8"/>
    <w:rsid w:val="0057609A"/>
    <w:rsid w:val="005B66AC"/>
    <w:rsid w:val="005C6F2F"/>
    <w:rsid w:val="005D2333"/>
    <w:rsid w:val="006832E6"/>
    <w:rsid w:val="0069379C"/>
    <w:rsid w:val="00763E09"/>
    <w:rsid w:val="0083596B"/>
    <w:rsid w:val="00884DCA"/>
    <w:rsid w:val="008A2632"/>
    <w:rsid w:val="008B1472"/>
    <w:rsid w:val="0090454D"/>
    <w:rsid w:val="00971A1D"/>
    <w:rsid w:val="00A8211D"/>
    <w:rsid w:val="00A93926"/>
    <w:rsid w:val="00B402A5"/>
    <w:rsid w:val="00B82D9F"/>
    <w:rsid w:val="00B94E7C"/>
    <w:rsid w:val="00C10866"/>
    <w:rsid w:val="00CA0681"/>
    <w:rsid w:val="00D35C1C"/>
    <w:rsid w:val="00D953E9"/>
    <w:rsid w:val="00DE2CB4"/>
    <w:rsid w:val="00E26FB2"/>
    <w:rsid w:val="00EF1503"/>
    <w:rsid w:val="00F95F9D"/>
    <w:rsid w:val="00FE6992"/>
    <w:rsid w:val="023D46EC"/>
    <w:rsid w:val="03847C26"/>
    <w:rsid w:val="066D3820"/>
    <w:rsid w:val="15DF4CCA"/>
    <w:rsid w:val="16372969"/>
    <w:rsid w:val="191E11A5"/>
    <w:rsid w:val="1C713A07"/>
    <w:rsid w:val="1EE542FB"/>
    <w:rsid w:val="252741BB"/>
    <w:rsid w:val="252C79E6"/>
    <w:rsid w:val="26670EA3"/>
    <w:rsid w:val="28733BC8"/>
    <w:rsid w:val="316A6F0E"/>
    <w:rsid w:val="324F30E2"/>
    <w:rsid w:val="32C54E83"/>
    <w:rsid w:val="32E79079"/>
    <w:rsid w:val="364F21BD"/>
    <w:rsid w:val="3C576005"/>
    <w:rsid w:val="3CB53AB0"/>
    <w:rsid w:val="3D703B52"/>
    <w:rsid w:val="3FFF22A7"/>
    <w:rsid w:val="40AB4931"/>
    <w:rsid w:val="42130223"/>
    <w:rsid w:val="44B46B6E"/>
    <w:rsid w:val="45802FF6"/>
    <w:rsid w:val="46325C51"/>
    <w:rsid w:val="484D62D8"/>
    <w:rsid w:val="48E961DE"/>
    <w:rsid w:val="49030947"/>
    <w:rsid w:val="49D0131A"/>
    <w:rsid w:val="49E058C1"/>
    <w:rsid w:val="4A870C8D"/>
    <w:rsid w:val="4B3B51AC"/>
    <w:rsid w:val="4CD63C91"/>
    <w:rsid w:val="4DEA5A67"/>
    <w:rsid w:val="4FBFF493"/>
    <w:rsid w:val="518B7E4E"/>
    <w:rsid w:val="56AA5CC8"/>
    <w:rsid w:val="592B25C0"/>
    <w:rsid w:val="5A7F72EA"/>
    <w:rsid w:val="61747DE2"/>
    <w:rsid w:val="618737C2"/>
    <w:rsid w:val="61C0332C"/>
    <w:rsid w:val="61D39402"/>
    <w:rsid w:val="625B3E21"/>
    <w:rsid w:val="64FA79D3"/>
    <w:rsid w:val="65034F64"/>
    <w:rsid w:val="65F234E7"/>
    <w:rsid w:val="669254E8"/>
    <w:rsid w:val="6701008C"/>
    <w:rsid w:val="6FCF4F12"/>
    <w:rsid w:val="74E05C5A"/>
    <w:rsid w:val="75CD5EEA"/>
    <w:rsid w:val="75F45394"/>
    <w:rsid w:val="767A4A7F"/>
    <w:rsid w:val="76FF8D1D"/>
    <w:rsid w:val="77C0318D"/>
    <w:rsid w:val="78D31617"/>
    <w:rsid w:val="7CD85FD6"/>
    <w:rsid w:val="7D8BE4C8"/>
    <w:rsid w:val="7DFB1EBA"/>
    <w:rsid w:val="7EAB9570"/>
    <w:rsid w:val="7EBF31A4"/>
    <w:rsid w:val="7F8C3598"/>
    <w:rsid w:val="7FB0752B"/>
    <w:rsid w:val="E2F75CA1"/>
    <w:rsid w:val="EEFF2EF7"/>
    <w:rsid w:val="EF75AE9F"/>
    <w:rsid w:val="EFBB6212"/>
    <w:rsid w:val="EFF54F98"/>
    <w:rsid w:val="F57F774E"/>
    <w:rsid w:val="F9370F17"/>
    <w:rsid w:val="FEFFC683"/>
    <w:rsid w:val="FF7DF9AC"/>
    <w:rsid w:val="FFDFCB69"/>
    <w:rsid w:val="FFE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pageBreakBefore/>
      <w:ind w:firstLine="0" w:firstLineChars="0"/>
      <w:jc w:val="center"/>
      <w:outlineLvl w:val="0"/>
    </w:pPr>
    <w:rPr>
      <w:rFonts w:eastAsia="华文中宋"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华文中宋"/>
      <w:bCs/>
      <w:kern w:val="44"/>
      <w:sz w:val="36"/>
      <w:szCs w:val="44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/>
      <w:sz w:val="32"/>
      <w:szCs w:val="24"/>
    </w:rPr>
  </w:style>
  <w:style w:type="character" w:customStyle="1" w:styleId="13">
    <w:name w:val="标题 3 Char"/>
    <w:basedOn w:val="9"/>
    <w:link w:val="4"/>
    <w:qFormat/>
    <w:uiPriority w:val="9"/>
    <w:rPr>
      <w:rFonts w:ascii="Times New Roman" w:hAnsi="Times New Roman" w:eastAsia="楷体_GB2312"/>
      <w:bCs/>
      <w:sz w:val="32"/>
      <w:szCs w:val="32"/>
    </w:rPr>
  </w:style>
  <w:style w:type="character" w:customStyle="1" w:styleId="14">
    <w:name w:val="页眉 Char"/>
    <w:basedOn w:val="9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批注框文本 Char"/>
    <w:basedOn w:val="9"/>
    <w:link w:val="5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1727</Words>
  <Characters>1829</Characters>
  <Lines>12</Lines>
  <Paragraphs>3</Paragraphs>
  <TotalTime>4</TotalTime>
  <ScaleCrop>false</ScaleCrop>
  <LinksUpToDate>false</LinksUpToDate>
  <CharactersWithSpaces>1846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2023-03-18T00:57:00Z</dcterms:created>
  <dc:creator>Administrator</dc:creator>
  <cp:lastModifiedBy>刘妍</cp:lastModifiedBy>
  <cp:lastPrinted>2026-05-29T03:55:00Z</cp:lastPrinted>
  <dcterms:modified xsi:type="dcterms:W3CDTF">2026-06-01T02:13:03Z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77885FE857E247E1AFA177E6ADB72E2E_13</vt:lpwstr>
  </property>
  <property fmtid="{D5CDD505-2E9C-101B-9397-08002B2CF9AE}" pid="4" name="KSOTemplateDocerSaveRecord">
    <vt:lpwstr>eyJoZGlkIjoiYmNjOTFlMDdjM2M0Y2YzYjBjZDdjMzk0OThmNTMwMzUiLCJ1c2VySWQiOiI1ODY4MzU0MTcifQ==</vt:lpwstr>
  </property>
</Properties>
</file>