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B238">
      <w:pPr>
        <w:pageBreakBefore w:val="0"/>
        <w:widowControl w:val="0"/>
        <w:kinsoku/>
        <w:wordWrap/>
        <w:overflowPunct/>
        <w:topLinePunct w:val="0"/>
        <w:bidi w:val="0"/>
        <w:adjustRightInd w:val="0"/>
        <w:snapToGrid w:val="0"/>
        <w:spacing w:line="579" w:lineRule="exact"/>
        <w:ind w:left="-57" w:right="-57"/>
        <w:textAlignment w:val="auto"/>
        <w:rPr>
          <w:rFonts w:ascii="黑体" w:hAnsi="黑体" w:eastAsia="黑体" w:cs="黑体"/>
          <w:sz w:val="24"/>
          <w:szCs w:val="24"/>
          <w:lang w:eastAsia="zh-CN"/>
        </w:rPr>
      </w:pPr>
      <w:r>
        <w:rPr>
          <w:rFonts w:hint="eastAsia" w:ascii="黑体" w:hAnsi="黑体" w:eastAsia="黑体" w:cs="黑体"/>
          <w:sz w:val="24"/>
          <w:szCs w:val="24"/>
          <w:lang w:eastAsia="zh-CN"/>
        </w:rPr>
        <w:t>附件</w:t>
      </w:r>
      <w:r>
        <w:rPr>
          <w:rFonts w:ascii="黑体" w:hAnsi="黑体" w:eastAsia="黑体" w:cs="黑体"/>
          <w:sz w:val="24"/>
          <w:szCs w:val="24"/>
          <w:lang w:eastAsia="zh-CN"/>
        </w:rPr>
        <w:t>1</w:t>
      </w:r>
    </w:p>
    <w:p w14:paraId="17A2A921">
      <w:pPr>
        <w:pStyle w:val="3"/>
        <w:pageBreakBefore w:val="0"/>
        <w:widowControl w:val="0"/>
        <w:kinsoku/>
        <w:wordWrap/>
        <w:overflowPunct/>
        <w:topLinePunct w:val="0"/>
        <w:bidi w:val="0"/>
        <w:spacing w:line="579" w:lineRule="exact"/>
        <w:ind w:right="99"/>
        <w:jc w:val="center"/>
        <w:textAlignment w:val="auto"/>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招聘岗位工作职责</w:t>
      </w:r>
    </w:p>
    <w:p w14:paraId="2EAF6F18">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eastAsia="仿宋_GB2312" w:cs="HiddenHorzOCR"/>
          <w:color w:val="101010"/>
          <w:sz w:val="32"/>
          <w:szCs w:val="32"/>
          <w:lang w:eastAsia="zh-CN"/>
        </w:rPr>
      </w:pPr>
      <w:r>
        <w:rPr>
          <w:rFonts w:ascii="仿宋_GB2312" w:eastAsia="仿宋_GB2312" w:cs="HiddenHorzOCR"/>
          <w:color w:val="101010"/>
          <w:sz w:val="32"/>
          <w:szCs w:val="32"/>
          <w:lang w:eastAsia="zh-CN"/>
        </w:rPr>
        <w:t xml:space="preserve"> </w:t>
      </w:r>
      <w:bookmarkStart w:id="0" w:name="_GoBack"/>
      <w:bookmarkEnd w:id="0"/>
    </w:p>
    <w:p w14:paraId="7A257A55">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val="en-US" w:eastAsia="zh-CN"/>
        </w:rPr>
      </w:pPr>
      <w:r>
        <w:rPr>
          <w:rFonts w:hint="eastAsia" w:ascii="楷体_GB2312" w:eastAsia="楷体_GB2312" w:cs="HiddenHorzOCR"/>
          <w:b/>
          <w:bCs/>
          <w:color w:val="101010"/>
          <w:sz w:val="32"/>
          <w:szCs w:val="32"/>
          <w:lang w:val="en-US" w:eastAsia="zh-CN"/>
        </w:rPr>
        <w:t>（一）办公室（党委办公室、信访办公室、保密办公室）行政管理岗主要职责</w:t>
      </w:r>
    </w:p>
    <w:p w14:paraId="64F46E1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1.负责公司印章、介绍信、综合类法人授权委托书管理工作；</w:t>
      </w:r>
    </w:p>
    <w:p w14:paraId="5FC16BEF">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2.负责总部接待、总经理办公会及综合性会议的筹备和会务工作，做好公司总部物业、后勤保障、卫生防疫管理工作；</w:t>
      </w:r>
    </w:p>
    <w:p w14:paraId="41745044">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3.负责公司总部办公用品采购管理、公务用车管理和行政事务管理工作；</w:t>
      </w:r>
    </w:p>
    <w:p w14:paraId="3329BD38">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4.负责公司国家安全人民防线建设领导小组、保密委员会的日常工作；</w:t>
      </w:r>
    </w:p>
    <w:p w14:paraId="02BDE262">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5.组织公司各项保密制度制定、保密工作计划拟定等工作，指导监督总部有关部门、所属单位的保密管理工作；</w:t>
      </w:r>
    </w:p>
    <w:p w14:paraId="4154F950">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6.完成领导交办的其他工作。</w:t>
      </w:r>
    </w:p>
    <w:p w14:paraId="0C78478E">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val="en-US" w:eastAsia="zh-CN"/>
        </w:rPr>
      </w:pPr>
      <w:r>
        <w:rPr>
          <w:rFonts w:hint="eastAsia" w:ascii="楷体_GB2312" w:eastAsia="楷体_GB2312" w:cs="HiddenHorzOCR"/>
          <w:b/>
          <w:bCs/>
          <w:color w:val="101010"/>
          <w:sz w:val="32"/>
          <w:szCs w:val="32"/>
          <w:lang w:val="en-US" w:eastAsia="zh-CN"/>
        </w:rPr>
        <w:t>（二）发展改革部企业管理岗主要职责</w:t>
      </w:r>
    </w:p>
    <w:p w14:paraId="368A8E32">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1.开展行业及政策研究，为企业决策提供政策支持；</w:t>
      </w:r>
    </w:p>
    <w:p w14:paraId="145BB0A7">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2.负责三级公司建设和“专精特新”企业建设工作；</w:t>
      </w:r>
    </w:p>
    <w:p w14:paraId="7793657C">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3.负责企业资质体系建设、维护与管理；</w:t>
      </w:r>
    </w:p>
    <w:p w14:paraId="209C3D13">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4.负责企业对标管理提升和企业管理现代化创新成果评审及申报相关工作；</w:t>
      </w:r>
    </w:p>
    <w:p w14:paraId="7B57259F">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5.负责公司工商事务管理工作；</w:t>
      </w:r>
    </w:p>
    <w:p w14:paraId="76E2C5CA">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6.负责建筑行业相关协会、驻地住建监管部门的日常对接与综合业务办理，组织综合类评优评先申报；</w:t>
      </w:r>
    </w:p>
    <w:p w14:paraId="3545DD2B">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7.完成领导交办的其他工作。</w:t>
      </w:r>
    </w:p>
    <w:p w14:paraId="58F7455C">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val="en-US" w:eastAsia="zh-CN"/>
        </w:rPr>
      </w:pPr>
      <w:r>
        <w:rPr>
          <w:rFonts w:hint="eastAsia" w:ascii="楷体_GB2312" w:eastAsia="楷体_GB2312" w:cs="HiddenHorzOCR"/>
          <w:b/>
          <w:bCs/>
          <w:color w:val="101010"/>
          <w:sz w:val="32"/>
          <w:szCs w:val="32"/>
          <w:lang w:val="en-US" w:eastAsia="zh-CN"/>
        </w:rPr>
        <w:t>（三）经营部商务管理岗主要职责</w:t>
      </w:r>
    </w:p>
    <w:p w14:paraId="5BAA696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1.负责经营商务工作有关制度建立及管控工作；</w:t>
      </w:r>
    </w:p>
    <w:p w14:paraId="1B100049">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2.负责经营投标商务组织、审核工作；</w:t>
      </w:r>
    </w:p>
    <w:p w14:paraId="3EE214ED">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3.负责经营投标各区域备案、投标报名的协同工作；</w:t>
      </w:r>
    </w:p>
    <w:p w14:paraId="4AFA85FF">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4.负责经营投标所需保证金、保函、银行信贷及相关证明办理工作；</w:t>
      </w:r>
    </w:p>
    <w:p w14:paraId="6625424C">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5.负责经营投标所需相关证件、证书、业绩的借用和管理工作；</w:t>
      </w:r>
    </w:p>
    <w:p w14:paraId="1D12115A">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6.负责经营商务服务器、管理系统的日常使用管理；</w:t>
      </w:r>
    </w:p>
    <w:p w14:paraId="188F5DA3">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7.负责企业建造师注册、继续教育及日常使用管理工作；</w:t>
      </w:r>
    </w:p>
    <w:p w14:paraId="341E2BA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default" w:ascii="楷体_GB2312" w:hAnsi="等线" w:eastAsia="楷体_GB2312" w:cs="HiddenHorzOCR"/>
          <w:b/>
          <w:bCs/>
          <w:color w:val="101010"/>
          <w:sz w:val="32"/>
          <w:szCs w:val="32"/>
          <w:lang w:val="en-US" w:eastAsia="zh-CN"/>
        </w:rPr>
      </w:pPr>
      <w:r>
        <w:rPr>
          <w:rFonts w:hint="eastAsia" w:ascii="仿宋_GB2312" w:hAnsi="仿宋_GB2312" w:eastAsia="仿宋_GB2312" w:cs="仿宋_GB2312"/>
          <w:color w:val="auto"/>
          <w:sz w:val="32"/>
          <w:szCs w:val="32"/>
          <w:lang w:val="en-US" w:eastAsia="zh-CN"/>
        </w:rPr>
        <w:t>8.完成领导交办的其他工作。</w:t>
      </w:r>
    </w:p>
    <w:p w14:paraId="0EAFDC6D">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default" w:ascii="楷体_GB2312" w:hAnsi="等线" w:eastAsia="楷体_GB2312" w:cs="HiddenHorzOCR"/>
          <w:b/>
          <w:bCs/>
          <w:color w:val="101010"/>
          <w:sz w:val="32"/>
          <w:szCs w:val="32"/>
          <w:lang w:val="en-US" w:eastAsia="zh-CN"/>
        </w:rPr>
      </w:pPr>
      <w:r>
        <w:rPr>
          <w:rFonts w:hint="eastAsia" w:ascii="楷体_GB2312" w:hAnsi="等线" w:eastAsia="楷体_GB2312" w:cs="HiddenHorzOCR"/>
          <w:b/>
          <w:bCs/>
          <w:color w:val="101010"/>
          <w:sz w:val="32"/>
          <w:szCs w:val="32"/>
          <w:lang w:val="en-US" w:eastAsia="zh-CN"/>
        </w:rPr>
        <w:t>（四）经营部市场开发岗主要职责</w:t>
      </w:r>
    </w:p>
    <w:p w14:paraId="3F929279">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1.负责研究、贯彻和落实国家产业政策，参与公司经营发展战略规划和相关管理制度的编制并监督实施；</w:t>
      </w:r>
    </w:p>
    <w:p w14:paraId="4BC8B25F">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2.负责工程信息的收集与发布，搜集主要建筑央企经营动态；</w:t>
      </w:r>
    </w:p>
    <w:p w14:paraId="7223C6BE">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3.负责国内项目经营、新兴市场开发、重点行业市场开发的统筹协调、业务管理以及产业板块协同经营工作；</w:t>
      </w:r>
    </w:p>
    <w:p w14:paraId="5B4B511C">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4.负责公司经营相关会议的筹备组织及重要文稿起草工作；</w:t>
      </w:r>
    </w:p>
    <w:p w14:paraId="05AEBE5F">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5.负责部门内业管理等日常事务性工作；</w:t>
      </w:r>
    </w:p>
    <w:p w14:paraId="1B82671B">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6.负责外部来访的考察接待工作；</w:t>
      </w:r>
    </w:p>
    <w:p w14:paraId="5FFC91BA">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default" w:ascii="仿宋_GB2312" w:eastAsia="仿宋_GB2312" w:cs="HiddenHorzOCR"/>
          <w:color w:val="101010"/>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.完成领导交办的其他工作。</w:t>
      </w:r>
    </w:p>
    <w:p w14:paraId="1F482A24">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eastAsia="zh-CN"/>
        </w:rPr>
      </w:pPr>
      <w:r>
        <w:rPr>
          <w:rFonts w:hint="eastAsia" w:ascii="楷体_GB2312" w:eastAsia="楷体_GB2312" w:cs="HiddenHorzOCR"/>
          <w:b/>
          <w:bCs/>
          <w:color w:val="101010"/>
          <w:sz w:val="32"/>
          <w:szCs w:val="32"/>
          <w:lang w:eastAsia="zh-CN"/>
        </w:rPr>
        <w:t>（</w:t>
      </w:r>
      <w:r>
        <w:rPr>
          <w:rFonts w:hint="eastAsia" w:ascii="楷体_GB2312" w:eastAsia="楷体_GB2312" w:cs="HiddenHorzOCR"/>
          <w:b/>
          <w:bCs/>
          <w:color w:val="101010"/>
          <w:sz w:val="32"/>
          <w:szCs w:val="32"/>
          <w:lang w:val="en-US" w:eastAsia="zh-CN"/>
        </w:rPr>
        <w:t>五</w:t>
      </w:r>
      <w:r>
        <w:rPr>
          <w:rFonts w:hint="eastAsia" w:ascii="楷体_GB2312" w:eastAsia="楷体_GB2312" w:cs="HiddenHorzOCR"/>
          <w:b/>
          <w:bCs/>
          <w:color w:val="101010"/>
          <w:sz w:val="32"/>
          <w:szCs w:val="32"/>
          <w:lang w:eastAsia="zh-CN"/>
        </w:rPr>
        <w:t>）</w:t>
      </w:r>
      <w:r>
        <w:rPr>
          <w:rFonts w:hint="eastAsia" w:ascii="楷体_GB2312" w:eastAsia="楷体_GB2312" w:cs="HiddenHorzOCR"/>
          <w:b/>
          <w:bCs/>
          <w:color w:val="101010"/>
          <w:sz w:val="32"/>
          <w:szCs w:val="32"/>
          <w:lang w:val="en-US" w:eastAsia="zh-CN"/>
        </w:rPr>
        <w:t>经营部经营综合岗</w:t>
      </w:r>
      <w:r>
        <w:rPr>
          <w:rFonts w:hint="eastAsia" w:ascii="楷体_GB2312" w:eastAsia="楷体_GB2312" w:cs="HiddenHorzOCR"/>
          <w:b/>
          <w:bCs/>
          <w:color w:val="101010"/>
          <w:sz w:val="32"/>
          <w:szCs w:val="32"/>
          <w:lang w:eastAsia="zh-CN"/>
        </w:rPr>
        <w:t>主要职责</w:t>
      </w:r>
    </w:p>
    <w:p w14:paraId="79BA1EC3">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1.负责经营综合日常管理工作，负责上级有关方针政策的贯彻实施及公司经营综合有关制度建立及管控工作；</w:t>
      </w:r>
    </w:p>
    <w:p w14:paraId="07934DA0">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2.负责公司融合项目的统筹管理，负责督导各单位融合经营工作的开展；</w:t>
      </w:r>
    </w:p>
    <w:p w14:paraId="0428815C">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3.负责公司海外项目的统筹管理，负责督导海外经营工作开展，海外市场准入及项目评审的相关工作；</w:t>
      </w:r>
    </w:p>
    <w:p w14:paraId="56C54C78">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4.负责公司战新产业经营管理相关工作；</w:t>
      </w:r>
    </w:p>
    <w:p w14:paraId="3733BDB7">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5.负责公司相关业务部门开展的与经营业务相关的专项工作；</w:t>
      </w:r>
    </w:p>
    <w:p w14:paraId="1A84ACCA">
      <w:pPr>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eastAsia="zh-CN"/>
        </w:rPr>
        <w:t>领导交办的其它工作。</w:t>
      </w:r>
    </w:p>
    <w:p w14:paraId="4775A7A0">
      <w:pPr>
        <w:pStyle w:val="2"/>
        <w:rPr>
          <w:lang w:eastAsia="zh-CN"/>
        </w:rPr>
      </w:pPr>
    </w:p>
    <w:p w14:paraId="5EF807AF">
      <w:pPr>
        <w:pageBreakBefore w:val="0"/>
        <w:widowControl w:val="0"/>
        <w:kinsoku/>
        <w:wordWrap/>
        <w:overflowPunct/>
        <w:topLinePunct w:val="0"/>
        <w:bidi w:val="0"/>
        <w:adjustRightInd w:val="0"/>
        <w:snapToGrid w:val="0"/>
        <w:spacing w:line="579" w:lineRule="exact"/>
        <w:ind w:left="-57" w:right="-57"/>
        <w:textAlignment w:val="auto"/>
        <w:rPr>
          <w:rFonts w:hint="eastAsia" w:ascii="黑体" w:hAnsi="黑体" w:eastAsia="黑体" w:cs="黑体"/>
          <w:sz w:val="24"/>
          <w:szCs w:val="24"/>
          <w:lang w:eastAsia="zh-CN"/>
        </w:rPr>
      </w:pPr>
    </w:p>
    <w:p w14:paraId="1BA370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iddenHorzOCR">
    <w:altName w:val="Yu Gothic"/>
    <w:panose1 w:val="00000000000000000000"/>
    <w:charset w:val="80"/>
    <w:family w:val="auto"/>
    <w:pitch w:val="default"/>
    <w:sig w:usb0="00000000" w:usb1="00000000" w:usb2="00000010" w:usb3="00000000" w:csb0="0002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B1D2D"/>
    <w:rsid w:val="2FFB1D2D"/>
    <w:rsid w:val="60EE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等线" w:hAnsi="等线" w:eastAsia="等线" w:cs="Times New Roman"/>
      <w:sz w:val="22"/>
      <w:szCs w:val="22"/>
      <w:lang w:val="en-US" w:eastAsia="en-US" w:bidi="ar-SA"/>
    </w:rPr>
  </w:style>
  <w:style w:type="paragraph" w:styleId="3">
    <w:name w:val="heading 1"/>
    <w:basedOn w:val="1"/>
    <w:qFormat/>
    <w:uiPriority w:val="9"/>
    <w:pPr>
      <w:ind w:left="98"/>
      <w:outlineLvl w:val="0"/>
    </w:pPr>
    <w:rPr>
      <w:rFonts w:ascii="方正小标宋简体" w:hAnsi="方正小标宋简体" w:eastAsia="方正小标宋简体"/>
      <w:sz w:val="44"/>
      <w:szCs w:val="44"/>
    </w:rPr>
  </w:style>
  <w:style w:type="paragraph" w:styleId="2">
    <w:name w:val="heading 4"/>
    <w:basedOn w:val="1"/>
    <w:next w:val="1"/>
    <w:unhideWhenUsed/>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中铁城建</Company>
  <Pages>3</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2026-05-29T01:51:00Z</dcterms:created>
  <dc:creator>王杰</dc:creator>
  <cp:lastModifiedBy>王杰</cp:lastModifiedBy>
  <dcterms:modified xsi:type="dcterms:W3CDTF">2026-05-29T09:14:34Z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202EFBA50F54492987C5BFF4FDAB2E8B_11</vt:lpwstr>
  </property>
</Properties>
</file>