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C8F29">
      <w:pPr>
        <w:widowControl/>
        <w:spacing w:line="600" w:lineRule="exact"/>
        <w:jc w:val="left"/>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rPr>
        <w:t>附件2</w:t>
      </w:r>
    </w:p>
    <w:p w14:paraId="511604AC">
      <w:pPr>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pPr>
      <w: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t>将乐县2026年高校毕业生服务社区计划报名人员</w:t>
      </w:r>
    </w:p>
    <w:p w14:paraId="310961A8">
      <w:pPr>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pPr>
      <w:r>
        <w:rPr>
          <w:rFonts w:hint="eastAsia" w:ascii="方正小标宋简体" w:hAnsi="方正小标宋简体" w:eastAsia="方正小标宋简体" w:cs="方正小标宋简体"/>
          <w:b w:val="0"/>
          <w:bCs w:val="0"/>
          <w:color w:val="auto"/>
          <w:spacing w:val="-11"/>
          <w:kern w:val="2"/>
          <w:sz w:val="36"/>
          <w:szCs w:val="36"/>
          <w:highlight w:val="none"/>
          <w:lang w:val="en-US" w:eastAsia="zh-CN" w:bidi="ar"/>
        </w:rPr>
        <w:t>量化考核评分标准</w:t>
      </w:r>
    </w:p>
    <w:p w14:paraId="25CD4179">
      <w:pPr>
        <w:keepNext w:val="0"/>
        <w:keepLines w:val="0"/>
        <w:widowControl w:val="0"/>
        <w:suppressLineNumbers w:val="0"/>
        <w:spacing w:before="0" w:beforeAutospacing="0" w:after="0" w:afterAutospacing="0" w:line="596" w:lineRule="exact"/>
        <w:ind w:left="0" w:right="0"/>
        <w:jc w:val="center"/>
        <w:rPr>
          <w:rFonts w:hint="eastAsia" w:ascii="楷体_GB2312" w:hAnsi="楷体_GB2312" w:eastAsia="楷体_GB2312" w:cs="楷体_GB2312"/>
          <w:b w:val="0"/>
          <w:bCs/>
          <w:color w:val="auto"/>
          <w:spacing w:val="0"/>
          <w:kern w:val="2"/>
          <w:sz w:val="30"/>
          <w:szCs w:val="30"/>
          <w:highlight w:val="none"/>
          <w:lang w:val="en-US" w:eastAsia="zh-CN" w:bidi="ar"/>
        </w:rPr>
      </w:pPr>
    </w:p>
    <w:tbl>
      <w:tblPr>
        <w:tblStyle w:val="7"/>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4440"/>
        <w:gridCol w:w="3045"/>
      </w:tblGrid>
      <w:tr w14:paraId="4AF8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3D096C95">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pacing w:val="0"/>
                <w:sz w:val="21"/>
                <w:szCs w:val="24"/>
                <w:highlight w:val="none"/>
                <w:lang w:val="en-US"/>
              </w:rPr>
            </w:pPr>
            <w:r>
              <w:rPr>
                <w:rFonts w:hint="eastAsia" w:ascii="仿宋_GB2312" w:hAnsi="Calibri" w:eastAsia="宋体" w:cs="宋体"/>
                <w:b/>
                <w:bCs w:val="0"/>
                <w:color w:val="auto"/>
                <w:spacing w:val="0"/>
                <w:kern w:val="2"/>
                <w:sz w:val="24"/>
                <w:szCs w:val="32"/>
                <w:highlight w:val="none"/>
                <w:lang w:val="en-US" w:eastAsia="zh-CN" w:bidi="ar"/>
              </w:rPr>
              <w:t>评分项目</w:t>
            </w:r>
          </w:p>
        </w:tc>
        <w:tc>
          <w:tcPr>
            <w:tcW w:w="1440" w:type="dxa"/>
            <w:tcBorders>
              <w:top w:val="single" w:color="auto" w:sz="4" w:space="0"/>
              <w:left w:val="single" w:color="auto" w:sz="4" w:space="0"/>
              <w:bottom w:val="single" w:color="auto" w:sz="4" w:space="0"/>
              <w:right w:val="single" w:color="auto" w:sz="4" w:space="0"/>
            </w:tcBorders>
            <w:noWrap/>
            <w:vAlign w:val="center"/>
          </w:tcPr>
          <w:p w14:paraId="140D290E">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pacing w:val="0"/>
                <w:sz w:val="21"/>
                <w:szCs w:val="24"/>
                <w:highlight w:val="none"/>
                <w:lang w:val="en-US"/>
              </w:rPr>
            </w:pPr>
            <w:r>
              <w:rPr>
                <w:rFonts w:hint="eastAsia" w:ascii="仿宋_GB2312" w:hAnsi="Calibri" w:eastAsia="宋体" w:cs="宋体"/>
                <w:b/>
                <w:bCs w:val="0"/>
                <w:color w:val="auto"/>
                <w:spacing w:val="0"/>
                <w:kern w:val="2"/>
                <w:sz w:val="24"/>
                <w:szCs w:val="32"/>
                <w:highlight w:val="none"/>
                <w:lang w:val="en-US" w:eastAsia="zh-CN" w:bidi="ar"/>
              </w:rPr>
              <w:t>评分细项</w:t>
            </w:r>
          </w:p>
        </w:tc>
        <w:tc>
          <w:tcPr>
            <w:tcW w:w="4440" w:type="dxa"/>
            <w:tcBorders>
              <w:top w:val="single" w:color="auto" w:sz="4" w:space="0"/>
              <w:left w:val="single" w:color="auto" w:sz="4" w:space="0"/>
              <w:bottom w:val="single" w:color="auto" w:sz="4" w:space="0"/>
              <w:right w:val="single" w:color="auto" w:sz="4" w:space="0"/>
            </w:tcBorders>
            <w:noWrap/>
            <w:vAlign w:val="center"/>
          </w:tcPr>
          <w:p w14:paraId="606FE02A">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pacing w:val="0"/>
                <w:sz w:val="21"/>
                <w:szCs w:val="24"/>
                <w:highlight w:val="none"/>
                <w:lang w:val="en-US"/>
              </w:rPr>
            </w:pPr>
            <w:r>
              <w:rPr>
                <w:rFonts w:hint="eastAsia" w:ascii="仿宋_GB2312" w:hAnsi="Calibri" w:eastAsia="宋体" w:cs="宋体"/>
                <w:b/>
                <w:bCs w:val="0"/>
                <w:color w:val="auto"/>
                <w:spacing w:val="0"/>
                <w:kern w:val="2"/>
                <w:sz w:val="24"/>
                <w:szCs w:val="32"/>
                <w:highlight w:val="none"/>
                <w:lang w:val="en-US" w:eastAsia="zh-CN" w:bidi="ar"/>
              </w:rPr>
              <w:t>评分指标</w:t>
            </w:r>
          </w:p>
        </w:tc>
        <w:tc>
          <w:tcPr>
            <w:tcW w:w="3045" w:type="dxa"/>
            <w:tcBorders>
              <w:top w:val="single" w:color="auto" w:sz="4" w:space="0"/>
              <w:left w:val="single" w:color="auto" w:sz="4" w:space="0"/>
              <w:bottom w:val="single" w:color="auto" w:sz="4" w:space="0"/>
              <w:right w:val="single" w:color="auto" w:sz="4" w:space="0"/>
            </w:tcBorders>
            <w:noWrap/>
            <w:vAlign w:val="center"/>
          </w:tcPr>
          <w:p w14:paraId="0BC9BB85">
            <w:pPr>
              <w:keepNext w:val="0"/>
              <w:keepLines w:val="0"/>
              <w:widowControl w:val="0"/>
              <w:suppressLineNumbers w:val="0"/>
              <w:spacing w:before="0" w:beforeAutospacing="0" w:after="0" w:afterAutospacing="0" w:line="300" w:lineRule="exact"/>
              <w:ind w:left="0" w:right="0"/>
              <w:jc w:val="center"/>
              <w:rPr>
                <w:rFonts w:hint="eastAsia" w:ascii="仿宋_GB2312" w:hAnsi="Calibri" w:eastAsia="宋体" w:cs="仿宋_GB2312"/>
                <w:color w:val="auto"/>
                <w:spacing w:val="0"/>
                <w:sz w:val="21"/>
                <w:szCs w:val="24"/>
                <w:highlight w:val="none"/>
                <w:lang w:val="en-US"/>
              </w:rPr>
            </w:pPr>
            <w:r>
              <w:rPr>
                <w:rFonts w:hint="eastAsia" w:ascii="仿宋_GB2312" w:hAnsi="Calibri" w:eastAsia="宋体" w:cs="宋体"/>
                <w:b/>
                <w:bCs w:val="0"/>
                <w:color w:val="auto"/>
                <w:spacing w:val="0"/>
                <w:kern w:val="2"/>
                <w:sz w:val="24"/>
                <w:szCs w:val="32"/>
                <w:highlight w:val="none"/>
                <w:lang w:val="en-US" w:eastAsia="zh-CN" w:bidi="ar"/>
              </w:rPr>
              <w:t>评分说明</w:t>
            </w:r>
          </w:p>
        </w:tc>
      </w:tr>
      <w:tr w14:paraId="6AC5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0" w:type="dxa"/>
            <w:vMerge w:val="restart"/>
            <w:tcBorders>
              <w:top w:val="single" w:color="auto" w:sz="4" w:space="0"/>
              <w:left w:val="single" w:color="auto" w:sz="4" w:space="0"/>
              <w:right w:val="single" w:color="auto" w:sz="4" w:space="0"/>
            </w:tcBorders>
            <w:noWrap/>
            <w:vAlign w:val="center"/>
          </w:tcPr>
          <w:p w14:paraId="43D3D1B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个人基本情况</w:t>
            </w:r>
          </w:p>
          <w:p w14:paraId="02236B7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w:t>
            </w:r>
            <w:r>
              <w:rPr>
                <w:rFonts w:hint="default" w:ascii="仿宋_GB2312" w:hAnsi="仿宋_GB2312" w:eastAsia="仿宋_GB2312" w:cs="仿宋_GB2312"/>
                <w:color w:val="auto"/>
                <w:spacing w:val="0"/>
                <w:kern w:val="2"/>
                <w:sz w:val="24"/>
                <w:szCs w:val="24"/>
                <w:highlight w:val="none"/>
                <w:lang w:val="en-US" w:eastAsia="zh-CN" w:bidi="ar"/>
              </w:rPr>
              <w:t>55</w:t>
            </w:r>
            <w:r>
              <w:rPr>
                <w:rFonts w:hint="eastAsia" w:ascii="仿宋_GB2312" w:hAnsi="仿宋_GB2312" w:eastAsia="仿宋_GB2312" w:cs="仿宋_GB2312"/>
                <w:color w:val="auto"/>
                <w:spacing w:val="0"/>
                <w:kern w:val="2"/>
                <w:sz w:val="24"/>
                <w:szCs w:val="24"/>
                <w:highlight w:val="none"/>
                <w:lang w:val="en-US" w:eastAsia="zh-CN" w:bidi="ar"/>
              </w:rPr>
              <w:t>分）</w:t>
            </w:r>
          </w:p>
          <w:p w14:paraId="4016C1F7">
            <w:pPr>
              <w:keepNext w:val="0"/>
              <w:keepLines w:val="0"/>
              <w:widowControl w:val="0"/>
              <w:suppressLineNumbers w:val="0"/>
              <w:snapToGrid w:val="0"/>
              <w:spacing w:before="0" w:beforeAutospacing="0" w:after="0" w:afterAutospacing="0" w:line="300" w:lineRule="exact"/>
              <w:ind w:left="0" w:right="0"/>
              <w:jc w:val="center"/>
              <w:rPr>
                <w:rFonts w:hint="eastAsia" w:ascii="仿宋_GB2312" w:hAnsi="仿宋_GB2312" w:eastAsia="仿宋_GB2312" w:cs="仿宋_GB2312"/>
                <w:color w:val="auto"/>
                <w:spacing w:val="0"/>
                <w:sz w:val="24"/>
                <w:szCs w:val="24"/>
                <w:highlight w:val="none"/>
                <w:lang w:val="en-US"/>
              </w:rPr>
            </w:pP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24BE207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政治面貌</w:t>
            </w:r>
          </w:p>
          <w:p w14:paraId="7429A51E">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w:t>
            </w:r>
            <w:r>
              <w:rPr>
                <w:rFonts w:hint="default" w:ascii="仿宋_GB2312" w:hAnsi="仿宋_GB2312" w:eastAsia="宋体"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679745E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中共党员（</w:t>
            </w:r>
            <w:r>
              <w:rPr>
                <w:rFonts w:hint="default" w:ascii="仿宋_GB2312" w:hAnsi="仿宋_GB2312" w:eastAsia="宋体"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restart"/>
            <w:tcBorders>
              <w:top w:val="single" w:color="auto" w:sz="4" w:space="0"/>
              <w:left w:val="single" w:color="auto" w:sz="4" w:space="0"/>
              <w:bottom w:val="single" w:color="auto" w:sz="4" w:space="0"/>
              <w:right w:val="single" w:color="auto" w:sz="4" w:space="0"/>
            </w:tcBorders>
            <w:noWrap/>
            <w:vAlign w:val="center"/>
          </w:tcPr>
          <w:p w14:paraId="477D667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报名人员提交证明材料。</w:t>
            </w:r>
          </w:p>
        </w:tc>
      </w:tr>
      <w:tr w14:paraId="7339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0" w:type="dxa"/>
            <w:vMerge w:val="continue"/>
            <w:tcBorders>
              <w:left w:val="single" w:color="auto" w:sz="4" w:space="0"/>
              <w:right w:val="single" w:color="auto" w:sz="4" w:space="0"/>
            </w:tcBorders>
            <w:noWrap/>
            <w:vAlign w:val="center"/>
          </w:tcPr>
          <w:p w14:paraId="58761DE1">
            <w:pPr>
              <w:jc w:val="both"/>
              <w:rPr>
                <w:rFonts w:hint="eastAsia" w:ascii="仿宋_GB2312" w:hAnsi="仿宋_GB2312" w:eastAsia="仿宋_GB2312" w:cs="仿宋_GB2312"/>
                <w:color w:val="auto"/>
                <w:spacing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4E205052">
            <w:pPr>
              <w:jc w:val="both"/>
              <w:rPr>
                <w:rFonts w:hint="eastAsia" w:ascii="仿宋_GB2312" w:hAnsi="仿宋_GB2312" w:eastAsia="仿宋_GB2312" w:cs="仿宋_GB2312"/>
                <w:color w:val="auto"/>
                <w:spacing w:val="0"/>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49264826">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sz w:val="24"/>
                <w:szCs w:val="24"/>
                <w:highlight w:val="none"/>
                <w:lang w:val="en-US"/>
              </w:rPr>
            </w:pPr>
            <w:r>
              <w:rPr>
                <w:rFonts w:hint="eastAsia" w:ascii="仿宋_GB2312" w:hAnsi="仿宋_GB2312" w:eastAsia="仿宋_GB2312" w:cs="仿宋_GB2312"/>
                <w:color w:val="auto"/>
                <w:spacing w:val="0"/>
                <w:kern w:val="2"/>
                <w:sz w:val="24"/>
                <w:szCs w:val="24"/>
                <w:highlight w:val="none"/>
                <w:lang w:val="en-US" w:eastAsia="zh-CN" w:bidi="ar"/>
              </w:rPr>
              <w:t>中共预备党员（</w:t>
            </w:r>
            <w:r>
              <w:rPr>
                <w:rFonts w:hint="default" w:ascii="仿宋_GB2312" w:hAnsi="仿宋_GB2312" w:eastAsia="宋体" w:cs="仿宋_GB2312"/>
                <w:color w:val="auto"/>
                <w:spacing w:val="0"/>
                <w:kern w:val="2"/>
                <w:sz w:val="24"/>
                <w:szCs w:val="24"/>
                <w:highlight w:val="none"/>
                <w:lang w:val="en-US" w:eastAsia="zh-CN" w:bidi="ar"/>
              </w:rPr>
              <w:t>3</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46D5ECD3">
            <w:pPr>
              <w:jc w:val="left"/>
              <w:rPr>
                <w:rFonts w:hint="eastAsia" w:ascii="仿宋_GB2312" w:hAnsi="仿宋_GB2312" w:eastAsia="仿宋_GB2312" w:cs="仿宋_GB2312"/>
                <w:color w:val="auto"/>
                <w:spacing w:val="0"/>
                <w:sz w:val="24"/>
                <w:szCs w:val="24"/>
                <w:highlight w:val="none"/>
              </w:rPr>
            </w:pPr>
          </w:p>
        </w:tc>
      </w:tr>
      <w:tr w14:paraId="35F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00" w:type="dxa"/>
            <w:vMerge w:val="continue"/>
            <w:tcBorders>
              <w:left w:val="single" w:color="auto" w:sz="4" w:space="0"/>
              <w:right w:val="single" w:color="auto" w:sz="4" w:space="0"/>
            </w:tcBorders>
            <w:noWrap/>
            <w:vAlign w:val="center"/>
          </w:tcPr>
          <w:p w14:paraId="20EB351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4560443D">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院校类别</w:t>
            </w:r>
          </w:p>
          <w:p w14:paraId="1550721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（1</w:t>
            </w:r>
            <w:r>
              <w:rPr>
                <w:rFonts w:hint="default" w:ascii="仿宋_GB2312" w:hAnsi="仿宋_GB2312" w:eastAsia="仿宋_GB2312"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1E3762D6">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全国“双一流”建设高校、进入QS世界大学排名榜单的港澳台院校（</w:t>
            </w:r>
            <w:r>
              <w:rPr>
                <w:rFonts w:hint="default" w:ascii="仿宋_GB2312" w:hAnsi="仿宋_GB2312" w:eastAsia="仿宋_GB2312" w:cs="仿宋_GB2312"/>
                <w:color w:val="auto"/>
                <w:spacing w:val="0"/>
                <w:kern w:val="2"/>
                <w:sz w:val="24"/>
                <w:szCs w:val="24"/>
                <w:highlight w:val="none"/>
                <w:lang w:val="en-US" w:eastAsia="zh-CN" w:bidi="ar"/>
              </w:rPr>
              <w:t>15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restart"/>
            <w:tcBorders>
              <w:top w:val="single" w:color="auto" w:sz="4" w:space="0"/>
              <w:left w:val="single" w:color="auto" w:sz="4" w:space="0"/>
              <w:bottom w:val="single" w:color="auto" w:sz="4" w:space="0"/>
              <w:right w:val="single" w:color="auto" w:sz="4" w:space="0"/>
            </w:tcBorders>
            <w:noWrap/>
            <w:vAlign w:val="center"/>
          </w:tcPr>
          <w:p w14:paraId="0901ED9A">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根据教育部门公布院校名单和QS世界大学排名榜单。</w:t>
            </w:r>
          </w:p>
        </w:tc>
      </w:tr>
      <w:tr w14:paraId="7C57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 w:type="dxa"/>
            <w:vMerge w:val="continue"/>
            <w:tcBorders>
              <w:left w:val="single" w:color="auto" w:sz="4" w:space="0"/>
              <w:right w:val="single" w:color="auto" w:sz="4" w:space="0"/>
            </w:tcBorders>
            <w:noWrap/>
            <w:vAlign w:val="center"/>
          </w:tcPr>
          <w:p w14:paraId="3AC82C00">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535FEC0D">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257CDAA4">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福建省“双一流”建设高校（</w:t>
            </w:r>
            <w:r>
              <w:rPr>
                <w:rFonts w:hint="default" w:ascii="仿宋_GB2312" w:hAnsi="仿宋_GB2312" w:eastAsia="仿宋_GB2312" w:cs="仿宋_GB2312"/>
                <w:color w:val="auto"/>
                <w:spacing w:val="0"/>
                <w:kern w:val="2"/>
                <w:sz w:val="24"/>
                <w:szCs w:val="24"/>
                <w:highlight w:val="none"/>
                <w:lang w:val="en-US" w:eastAsia="zh-CN" w:bidi="ar"/>
              </w:rPr>
              <w:t>12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00B163E4">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p>
        </w:tc>
      </w:tr>
      <w:tr w14:paraId="7FA3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 w:type="dxa"/>
            <w:vMerge w:val="continue"/>
            <w:tcBorders>
              <w:left w:val="single" w:color="auto" w:sz="4" w:space="0"/>
              <w:right w:val="single" w:color="auto" w:sz="4" w:space="0"/>
            </w:tcBorders>
            <w:noWrap/>
            <w:vAlign w:val="center"/>
          </w:tcPr>
          <w:p w14:paraId="04BF212A">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284CE7D9">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6C909E17">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其他院校（</w:t>
            </w:r>
            <w:r>
              <w:rPr>
                <w:rFonts w:hint="default" w:ascii="仿宋_GB2312" w:hAnsi="仿宋_GB2312" w:eastAsia="仿宋_GB2312" w:cs="仿宋_GB2312"/>
                <w:color w:val="auto"/>
                <w:spacing w:val="0"/>
                <w:kern w:val="2"/>
                <w:sz w:val="24"/>
                <w:szCs w:val="24"/>
                <w:highlight w:val="none"/>
                <w:lang w:val="en-US" w:eastAsia="zh-CN" w:bidi="ar"/>
              </w:rPr>
              <w:t>10</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73EDEDD0">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p>
        </w:tc>
      </w:tr>
      <w:tr w14:paraId="5779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0" w:type="dxa"/>
            <w:vMerge w:val="continue"/>
            <w:tcBorders>
              <w:left w:val="single" w:color="auto" w:sz="4" w:space="0"/>
              <w:right w:val="single" w:color="auto" w:sz="4" w:space="0"/>
            </w:tcBorders>
            <w:noWrap/>
            <w:vAlign w:val="center"/>
          </w:tcPr>
          <w:p w14:paraId="4BE97A32">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22435B17">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全日制学历层次</w:t>
            </w:r>
          </w:p>
          <w:p w14:paraId="4A226502">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（20分）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52785326">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研究生学历（20分）</w:t>
            </w:r>
          </w:p>
        </w:tc>
        <w:tc>
          <w:tcPr>
            <w:tcW w:w="3045" w:type="dxa"/>
            <w:vMerge w:val="restart"/>
            <w:tcBorders>
              <w:top w:val="single" w:color="auto" w:sz="4" w:space="0"/>
              <w:left w:val="single" w:color="auto" w:sz="4" w:space="0"/>
              <w:bottom w:val="single" w:color="auto" w:sz="4" w:space="0"/>
              <w:right w:val="single" w:color="auto" w:sz="4" w:space="0"/>
            </w:tcBorders>
            <w:noWrap/>
            <w:vAlign w:val="center"/>
          </w:tcPr>
          <w:p w14:paraId="2CD21DC1">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报名人员提交证明材料。</w:t>
            </w:r>
          </w:p>
        </w:tc>
      </w:tr>
      <w:tr w14:paraId="2A99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0" w:type="dxa"/>
            <w:vMerge w:val="continue"/>
            <w:tcBorders>
              <w:left w:val="single" w:color="auto" w:sz="4" w:space="0"/>
              <w:right w:val="single" w:color="auto" w:sz="4" w:space="0"/>
            </w:tcBorders>
            <w:noWrap/>
            <w:vAlign w:val="center"/>
          </w:tcPr>
          <w:p w14:paraId="16B8A7E9">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3FC3FA0C">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77298825">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双学士学位学历（1</w:t>
            </w:r>
            <w:r>
              <w:rPr>
                <w:rFonts w:hint="default" w:ascii="仿宋_GB2312" w:hAnsi="仿宋_GB2312" w:eastAsia="仿宋_GB2312" w:cs="仿宋_GB2312"/>
                <w:color w:val="auto"/>
                <w:spacing w:val="0"/>
                <w:kern w:val="2"/>
                <w:sz w:val="24"/>
                <w:szCs w:val="24"/>
                <w:highlight w:val="none"/>
                <w:lang w:val="en-US" w:eastAsia="zh-CN" w:bidi="ar"/>
              </w:rPr>
              <w:t>7</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41CA1A7F">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p>
        </w:tc>
      </w:tr>
      <w:tr w14:paraId="16D4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0" w:type="dxa"/>
            <w:vMerge w:val="continue"/>
            <w:tcBorders>
              <w:left w:val="single" w:color="auto" w:sz="4" w:space="0"/>
              <w:right w:val="single" w:color="auto" w:sz="4" w:space="0"/>
            </w:tcBorders>
            <w:noWrap/>
            <w:vAlign w:val="center"/>
          </w:tcPr>
          <w:p w14:paraId="2E37655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0F1F4CB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30352A37">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本科学历（1</w:t>
            </w:r>
            <w:r>
              <w:rPr>
                <w:rFonts w:hint="default" w:ascii="仿宋_GB2312" w:hAnsi="仿宋_GB2312" w:eastAsia="仿宋_GB2312"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2906203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p>
        </w:tc>
      </w:tr>
      <w:tr w14:paraId="3099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0" w:type="dxa"/>
            <w:vMerge w:val="continue"/>
            <w:tcBorders>
              <w:left w:val="single" w:color="auto" w:sz="4" w:space="0"/>
              <w:right w:val="single" w:color="auto" w:sz="4" w:space="0"/>
            </w:tcBorders>
            <w:noWrap/>
            <w:vAlign w:val="center"/>
          </w:tcPr>
          <w:p w14:paraId="045E68A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1420C8D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199603B5">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专科学历（10分）</w:t>
            </w:r>
          </w:p>
        </w:tc>
        <w:tc>
          <w:tcPr>
            <w:tcW w:w="3045" w:type="dxa"/>
            <w:vMerge w:val="continue"/>
            <w:tcBorders>
              <w:top w:val="single" w:color="auto" w:sz="4" w:space="0"/>
              <w:left w:val="single" w:color="auto" w:sz="4" w:space="0"/>
              <w:bottom w:val="single" w:color="auto" w:sz="4" w:space="0"/>
              <w:right w:val="single" w:color="auto" w:sz="4" w:space="0"/>
            </w:tcBorders>
            <w:noWrap/>
            <w:vAlign w:val="center"/>
          </w:tcPr>
          <w:p w14:paraId="2C61CD3A">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p>
        </w:tc>
      </w:tr>
      <w:tr w14:paraId="730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0" w:type="dxa"/>
            <w:vMerge w:val="continue"/>
            <w:tcBorders>
              <w:left w:val="single" w:color="auto" w:sz="4" w:space="0"/>
              <w:right w:val="single" w:color="auto" w:sz="4" w:space="0"/>
            </w:tcBorders>
            <w:noWrap/>
            <w:vAlign w:val="center"/>
          </w:tcPr>
          <w:p w14:paraId="233C77D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0249A23A">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困难状况</w:t>
            </w:r>
          </w:p>
          <w:p w14:paraId="6132DC77">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w:t>
            </w:r>
            <w:r>
              <w:rPr>
                <w:rFonts w:hint="default" w:ascii="仿宋_GB2312" w:hAnsi="仿宋_GB2312" w:eastAsia="仿宋_GB2312"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7121240D">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困难毕业生（城乡低保家庭毕业生）（</w:t>
            </w:r>
            <w:r>
              <w:rPr>
                <w:rFonts w:hint="default" w:ascii="仿宋_GB2312" w:hAnsi="仿宋_GB2312" w:eastAsia="仿宋_GB2312"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tcBorders>
              <w:top w:val="single" w:color="auto" w:sz="4" w:space="0"/>
              <w:left w:val="single" w:color="auto" w:sz="4" w:space="0"/>
              <w:bottom w:val="single" w:color="auto" w:sz="4" w:space="0"/>
              <w:right w:val="single" w:color="auto" w:sz="4" w:space="0"/>
            </w:tcBorders>
            <w:noWrap/>
            <w:vAlign w:val="center"/>
          </w:tcPr>
          <w:p w14:paraId="6A14CBC3">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提供县民政部门出具的城乡低保证明材料。</w:t>
            </w:r>
          </w:p>
        </w:tc>
      </w:tr>
      <w:tr w14:paraId="41FE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Merge w:val="continue"/>
            <w:tcBorders>
              <w:left w:val="single" w:color="auto" w:sz="4" w:space="0"/>
              <w:right w:val="single" w:color="auto" w:sz="4" w:space="0"/>
            </w:tcBorders>
            <w:noWrap/>
            <w:vAlign w:val="center"/>
          </w:tcPr>
          <w:p w14:paraId="25748FA7">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1FA34078">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烈士子女</w:t>
            </w:r>
          </w:p>
          <w:p w14:paraId="39C17BAE">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475D982A">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烈士子女，因公牺牲的国家机关工作人员、人民警察和军人的子女（</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restart"/>
            <w:tcBorders>
              <w:top w:val="single" w:color="auto" w:sz="4" w:space="0"/>
              <w:left w:val="single" w:color="auto" w:sz="4" w:space="0"/>
              <w:right w:val="single" w:color="auto" w:sz="4" w:space="0"/>
            </w:tcBorders>
            <w:noWrap/>
            <w:vAlign w:val="center"/>
          </w:tcPr>
          <w:p w14:paraId="702E8EB7">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报名人员提交证明材料。</w:t>
            </w:r>
          </w:p>
        </w:tc>
      </w:tr>
      <w:tr w14:paraId="59D8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left w:val="single" w:color="auto" w:sz="4" w:space="0"/>
              <w:right w:val="single" w:color="auto" w:sz="4" w:space="0"/>
            </w:tcBorders>
            <w:noWrap/>
            <w:vAlign w:val="center"/>
          </w:tcPr>
          <w:p w14:paraId="48EA5A2D">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E561212">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残疾人学生（</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55B00C0D">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残疾人学生（</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left w:val="single" w:color="auto" w:sz="4" w:space="0"/>
              <w:right w:val="single" w:color="auto" w:sz="4" w:space="0"/>
            </w:tcBorders>
            <w:noWrap/>
            <w:vAlign w:val="center"/>
          </w:tcPr>
          <w:p w14:paraId="22CC6CA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6B95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00" w:type="dxa"/>
            <w:vMerge w:val="continue"/>
            <w:tcBorders>
              <w:left w:val="single" w:color="auto" w:sz="4" w:space="0"/>
              <w:right w:val="single" w:color="auto" w:sz="4" w:space="0"/>
            </w:tcBorders>
            <w:noWrap/>
            <w:vAlign w:val="center"/>
          </w:tcPr>
          <w:p w14:paraId="1CA0A93D">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5A55E490">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退役大学生士兵（</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10218E7E">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退役大学生士兵（</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left w:val="single" w:color="auto" w:sz="4" w:space="0"/>
              <w:right w:val="single" w:color="auto" w:sz="4" w:space="0"/>
            </w:tcBorders>
            <w:noWrap/>
            <w:vAlign w:val="center"/>
          </w:tcPr>
          <w:p w14:paraId="789A671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4445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00" w:type="dxa"/>
            <w:vMerge w:val="continue"/>
            <w:tcBorders>
              <w:left w:val="single" w:color="auto" w:sz="4" w:space="0"/>
              <w:right w:val="single" w:color="auto" w:sz="4" w:space="0"/>
            </w:tcBorders>
            <w:noWrap/>
            <w:vAlign w:val="center"/>
          </w:tcPr>
          <w:p w14:paraId="188C1E8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D8D23A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少数民族大学生（</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7B4DA51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少数民族大学生（</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left w:val="single" w:color="auto" w:sz="4" w:space="0"/>
              <w:right w:val="single" w:color="auto" w:sz="4" w:space="0"/>
            </w:tcBorders>
            <w:noWrap/>
            <w:vAlign w:val="top"/>
          </w:tcPr>
          <w:p w14:paraId="1A9FC180">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370E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00" w:type="dxa"/>
            <w:vMerge w:val="continue"/>
            <w:tcBorders>
              <w:left w:val="single" w:color="auto" w:sz="4" w:space="0"/>
              <w:bottom w:val="single" w:color="auto" w:sz="4" w:space="0"/>
              <w:right w:val="single" w:color="auto" w:sz="4" w:space="0"/>
            </w:tcBorders>
            <w:noWrap/>
            <w:vAlign w:val="center"/>
          </w:tcPr>
          <w:p w14:paraId="2F2C8284">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60970BDA">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归侨、华侨、港澳台（</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124B112E">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归侨及归侨子女、华侨子女、台湾香港澳门籍考生（</w:t>
            </w:r>
            <w:r>
              <w:rPr>
                <w:rFonts w:hint="default" w:ascii="仿宋_GB2312" w:hAnsi="仿宋_GB2312" w:eastAsia="仿宋_GB2312" w:cs="仿宋_GB2312"/>
                <w:color w:val="auto"/>
                <w:spacing w:val="0"/>
                <w:kern w:val="2"/>
                <w:sz w:val="24"/>
                <w:szCs w:val="24"/>
                <w:highlight w:val="none"/>
                <w:lang w:val="en-US" w:eastAsia="zh-CN" w:bidi="ar"/>
              </w:rPr>
              <w:t>2</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left w:val="single" w:color="auto" w:sz="4" w:space="0"/>
              <w:bottom w:val="single" w:color="auto" w:sz="4" w:space="0"/>
              <w:right w:val="single" w:color="auto" w:sz="4" w:space="0"/>
            </w:tcBorders>
            <w:noWrap/>
            <w:vAlign w:val="top"/>
          </w:tcPr>
          <w:p w14:paraId="6BC9FF63">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615D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ign w:val="center"/>
          </w:tcPr>
          <w:p w14:paraId="0FBA2B33">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在校表现情况</w:t>
            </w:r>
          </w:p>
          <w:p w14:paraId="3FF801EE">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（25分）</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5FE63ACE">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专业成绩排名情况</w:t>
            </w:r>
          </w:p>
          <w:p w14:paraId="17472792">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（15分）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41D3818E">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专业成绩排名前5%（15分）</w:t>
            </w:r>
          </w:p>
        </w:tc>
        <w:tc>
          <w:tcPr>
            <w:tcW w:w="3045" w:type="dxa"/>
            <w:vMerge w:val="restart"/>
            <w:tcBorders>
              <w:top w:val="single" w:color="auto" w:sz="4" w:space="0"/>
              <w:left w:val="single" w:color="auto" w:sz="4" w:space="0"/>
              <w:bottom w:val="single" w:color="auto" w:sz="4" w:space="0"/>
              <w:right w:val="single" w:color="auto" w:sz="4" w:space="0"/>
            </w:tcBorders>
            <w:noWrap/>
            <w:vAlign w:val="top"/>
          </w:tcPr>
          <w:p w14:paraId="3F755359">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以院校出具的全部学年学科总成绩专业排名为依据；应届毕业生在审核时最后一学期（学年）成绩未公布的，按已完成学年学科总成绩排名核算，排名比例四舍五入计算。未提供院校出具的全部学年学科总成绩专业排名的不得分。</w:t>
            </w:r>
          </w:p>
        </w:tc>
      </w:tr>
      <w:tr w14:paraId="460F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45D8CD39">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7B31F74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3F090289">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专业成绩排名每增加1%，分数减少0.2分，如6%（14.8分）、7%（14.6分），以此类推，59%（4.2分）、60%（4分）</w:t>
            </w:r>
          </w:p>
        </w:tc>
        <w:tc>
          <w:tcPr>
            <w:tcW w:w="3045" w:type="dxa"/>
            <w:vMerge w:val="continue"/>
            <w:tcBorders>
              <w:top w:val="single" w:color="auto" w:sz="4" w:space="0"/>
              <w:left w:val="single" w:color="auto" w:sz="4" w:space="0"/>
              <w:bottom w:val="single" w:color="auto" w:sz="4" w:space="0"/>
              <w:right w:val="single" w:color="auto" w:sz="4" w:space="0"/>
            </w:tcBorders>
            <w:noWrap/>
            <w:vAlign w:val="top"/>
          </w:tcPr>
          <w:p w14:paraId="1A91FBF2">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4FAB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228C075D">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140ABDE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77D2CE62">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专业成绩排名61%及以外不得分</w:t>
            </w:r>
          </w:p>
        </w:tc>
        <w:tc>
          <w:tcPr>
            <w:tcW w:w="3045" w:type="dxa"/>
            <w:vMerge w:val="continue"/>
            <w:tcBorders>
              <w:top w:val="single" w:color="auto" w:sz="4" w:space="0"/>
              <w:left w:val="single" w:color="auto" w:sz="4" w:space="0"/>
              <w:bottom w:val="single" w:color="auto" w:sz="4" w:space="0"/>
              <w:right w:val="single" w:color="auto" w:sz="4" w:space="0"/>
            </w:tcBorders>
            <w:noWrap/>
            <w:vAlign w:val="top"/>
          </w:tcPr>
          <w:p w14:paraId="5352CBD3">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2096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638DCAC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0CEC2117">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获得荣誉（奖学金、奖项）情况（10分）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7229FFF5">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获得国家级赛事奖项；获得省级及以上荣誉（奖学金）（10分）</w:t>
            </w:r>
          </w:p>
        </w:tc>
        <w:tc>
          <w:tcPr>
            <w:tcW w:w="3045" w:type="dxa"/>
            <w:vMerge w:val="restart"/>
            <w:tcBorders>
              <w:top w:val="single" w:color="auto" w:sz="4" w:space="0"/>
              <w:left w:val="single" w:color="auto" w:sz="4" w:space="0"/>
              <w:bottom w:val="single" w:color="auto" w:sz="4" w:space="0"/>
              <w:right w:val="single" w:color="auto" w:sz="4" w:space="0"/>
            </w:tcBorders>
            <w:noWrap/>
            <w:vAlign w:val="top"/>
          </w:tcPr>
          <w:p w14:paraId="0DA4DD9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1.荣誉含省级及以上、市级、校级优秀学生干部、优秀学生、优秀团干部、三好学生、优秀毕业生。</w:t>
            </w:r>
          </w:p>
          <w:p w14:paraId="386B8B7B">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2.奖学金不含社会捐助类、助学金；国家励志奖学金等校级以上家庭经济困难类奖学金按照校级奖学金评分，已享受困难状况加分的不重复计分。</w:t>
            </w:r>
          </w:p>
          <w:p w14:paraId="4A021222">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3.奖项指省级及以上赛事奖项，包括政府部门主办职业技能大赛、职业规划大赛、创新创业大赛三等奖及以上、大中专毕业生创业省级资助，教育部认可赛事奖项（不含社会组织主办）。报名人员提交证书。</w:t>
            </w:r>
          </w:p>
        </w:tc>
      </w:tr>
      <w:tr w14:paraId="198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5F2D9825">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39E3A290">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02D572A2">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获得市级荣誉（奖学金）（8分）</w:t>
            </w:r>
          </w:p>
        </w:tc>
        <w:tc>
          <w:tcPr>
            <w:tcW w:w="3045" w:type="dxa"/>
            <w:vMerge w:val="continue"/>
            <w:tcBorders>
              <w:top w:val="single" w:color="auto" w:sz="4" w:space="0"/>
              <w:left w:val="single" w:color="auto" w:sz="4" w:space="0"/>
              <w:bottom w:val="single" w:color="auto" w:sz="4" w:space="0"/>
              <w:right w:val="single" w:color="auto" w:sz="4" w:space="0"/>
            </w:tcBorders>
            <w:noWrap/>
            <w:vAlign w:val="top"/>
          </w:tcPr>
          <w:p w14:paraId="7690E16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1E42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ign w:val="center"/>
          </w:tcPr>
          <w:p w14:paraId="2A31700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6D232453">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76D87423">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获得省级赛事（活动）奖项；获得校级荣誉（奖学金，含校级以上家庭经济困难学生奖学金）（</w:t>
            </w:r>
            <w:r>
              <w:rPr>
                <w:rFonts w:hint="default" w:ascii="仿宋_GB2312" w:hAnsi="仿宋_GB2312" w:eastAsia="仿宋_GB2312" w:cs="仿宋_GB2312"/>
                <w:color w:val="auto"/>
                <w:spacing w:val="0"/>
                <w:kern w:val="2"/>
                <w:sz w:val="24"/>
                <w:szCs w:val="24"/>
                <w:highlight w:val="none"/>
                <w:lang w:val="en-US" w:eastAsia="zh-CN" w:bidi="ar"/>
              </w:rPr>
              <w:t>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top w:val="single" w:color="auto" w:sz="4" w:space="0"/>
              <w:left w:val="single" w:color="auto" w:sz="4" w:space="0"/>
              <w:bottom w:val="single" w:color="auto" w:sz="4" w:space="0"/>
              <w:right w:val="single" w:color="auto" w:sz="4" w:space="0"/>
            </w:tcBorders>
            <w:noWrap/>
            <w:vAlign w:val="top"/>
          </w:tcPr>
          <w:p w14:paraId="1861603C">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41CD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00" w:type="dxa"/>
            <w:vMerge w:val="restart"/>
            <w:tcBorders>
              <w:left w:val="single" w:color="auto" w:sz="4" w:space="0"/>
              <w:right w:val="single" w:color="auto" w:sz="4" w:space="0"/>
            </w:tcBorders>
            <w:noWrap/>
            <w:vAlign w:val="center"/>
          </w:tcPr>
          <w:p w14:paraId="67DF7D5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岗位匹配情况</w:t>
            </w:r>
          </w:p>
          <w:p w14:paraId="7CC74614">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default" w:ascii="仿宋_GB2312" w:hAnsi="仿宋_GB2312" w:eastAsia="仿宋_GB2312" w:cs="仿宋_GB2312"/>
                <w:color w:val="auto"/>
                <w:spacing w:val="0"/>
                <w:kern w:val="2"/>
                <w:sz w:val="24"/>
                <w:szCs w:val="24"/>
                <w:highlight w:val="none"/>
                <w:lang w:val="en-US" w:eastAsia="zh-CN" w:bidi="ar"/>
              </w:rPr>
              <w:t>(</w:t>
            </w:r>
            <w:r>
              <w:rPr>
                <w:rFonts w:hint="eastAsia" w:ascii="仿宋_GB2312" w:hAnsi="仿宋_GB2312" w:eastAsia="仿宋_GB2312" w:cs="仿宋_GB2312"/>
                <w:color w:val="auto"/>
                <w:spacing w:val="0"/>
                <w:kern w:val="2"/>
                <w:sz w:val="24"/>
                <w:szCs w:val="24"/>
                <w:highlight w:val="none"/>
                <w:lang w:val="en-US" w:eastAsia="zh-CN" w:bidi="ar"/>
              </w:rPr>
              <w:t>2</w:t>
            </w:r>
            <w:r>
              <w:rPr>
                <w:rFonts w:hint="default" w:ascii="仿宋_GB2312" w:hAnsi="仿宋_GB2312" w:eastAsia="仿宋_GB2312" w:cs="仿宋_GB2312"/>
                <w:color w:val="auto"/>
                <w:spacing w:val="0"/>
                <w:kern w:val="2"/>
                <w:sz w:val="24"/>
                <w:szCs w:val="24"/>
                <w:highlight w:val="none"/>
                <w:lang w:val="en-US" w:eastAsia="zh-CN" w:bidi="ar"/>
              </w:rPr>
              <w:t>0</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143A8770">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生源地（入学前户口所在地）</w:t>
            </w:r>
          </w:p>
          <w:p w14:paraId="4FCF2F0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w:t>
            </w:r>
            <w:r>
              <w:rPr>
                <w:rFonts w:hint="default" w:ascii="仿宋_GB2312" w:hAnsi="仿宋_GB2312" w:eastAsia="仿宋_GB2312" w:cs="仿宋_GB2312"/>
                <w:color w:val="auto"/>
                <w:spacing w:val="0"/>
                <w:kern w:val="2"/>
                <w:sz w:val="24"/>
                <w:szCs w:val="24"/>
                <w:highlight w:val="none"/>
                <w:lang w:val="en-US" w:eastAsia="zh-CN" w:bidi="ar"/>
              </w:rPr>
              <w:t>15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59F3886A">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与所报名服务单位同县（市、区）（</w:t>
            </w:r>
            <w:r>
              <w:rPr>
                <w:rFonts w:hint="default" w:ascii="仿宋_GB2312" w:hAnsi="仿宋_GB2312" w:eastAsia="仿宋_GB2312" w:cs="仿宋_GB2312"/>
                <w:color w:val="auto"/>
                <w:spacing w:val="0"/>
                <w:kern w:val="2"/>
                <w:sz w:val="24"/>
                <w:szCs w:val="24"/>
                <w:highlight w:val="none"/>
                <w:lang w:val="en-US" w:eastAsia="zh-CN" w:bidi="ar"/>
              </w:rPr>
              <w:t>15</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restart"/>
            <w:tcBorders>
              <w:top w:val="single" w:color="auto" w:sz="4" w:space="0"/>
              <w:left w:val="single" w:color="auto" w:sz="4" w:space="0"/>
              <w:right w:val="single" w:color="auto" w:sz="4" w:space="0"/>
            </w:tcBorders>
            <w:noWrap/>
            <w:vAlign w:val="center"/>
          </w:tcPr>
          <w:p w14:paraId="5924F391">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报名人员提交证明材料。</w:t>
            </w:r>
          </w:p>
        </w:tc>
      </w:tr>
      <w:tr w14:paraId="7B4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0" w:type="dxa"/>
            <w:vMerge w:val="continue"/>
            <w:tcBorders>
              <w:left w:val="single" w:color="auto" w:sz="4" w:space="0"/>
              <w:right w:val="single" w:color="auto" w:sz="4" w:space="0"/>
            </w:tcBorders>
            <w:noWrap/>
            <w:vAlign w:val="center"/>
          </w:tcPr>
          <w:p w14:paraId="00D1884A">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51132B21">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4440" w:type="dxa"/>
            <w:tcBorders>
              <w:top w:val="single" w:color="auto" w:sz="4" w:space="0"/>
              <w:left w:val="single" w:color="auto" w:sz="4" w:space="0"/>
              <w:bottom w:val="single" w:color="auto" w:sz="4" w:space="0"/>
              <w:right w:val="single" w:color="auto" w:sz="4" w:space="0"/>
            </w:tcBorders>
            <w:noWrap/>
            <w:vAlign w:val="center"/>
          </w:tcPr>
          <w:p w14:paraId="546EA9A5">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与所报名服务单位同设区市（</w:t>
            </w:r>
            <w:r>
              <w:rPr>
                <w:rFonts w:hint="default" w:ascii="仿宋_GB2312" w:hAnsi="仿宋_GB2312" w:eastAsia="仿宋_GB2312" w:cs="仿宋_GB2312"/>
                <w:color w:val="auto"/>
                <w:spacing w:val="0"/>
                <w:kern w:val="2"/>
                <w:sz w:val="24"/>
                <w:szCs w:val="24"/>
                <w:highlight w:val="none"/>
                <w:lang w:val="en-US" w:eastAsia="zh-CN" w:bidi="ar"/>
              </w:rPr>
              <w:t>10</w:t>
            </w:r>
            <w:r>
              <w:rPr>
                <w:rFonts w:hint="eastAsia" w:ascii="仿宋_GB2312" w:hAnsi="仿宋_GB2312" w:eastAsia="仿宋_GB2312" w:cs="仿宋_GB2312"/>
                <w:color w:val="auto"/>
                <w:spacing w:val="0"/>
                <w:kern w:val="2"/>
                <w:sz w:val="24"/>
                <w:szCs w:val="24"/>
                <w:highlight w:val="none"/>
                <w:lang w:val="en-US" w:eastAsia="zh-CN" w:bidi="ar"/>
              </w:rPr>
              <w:t>分）</w:t>
            </w:r>
          </w:p>
        </w:tc>
        <w:tc>
          <w:tcPr>
            <w:tcW w:w="3045" w:type="dxa"/>
            <w:vMerge w:val="continue"/>
            <w:tcBorders>
              <w:left w:val="single" w:color="auto" w:sz="4" w:space="0"/>
              <w:right w:val="single" w:color="auto" w:sz="4" w:space="0"/>
            </w:tcBorders>
            <w:noWrap/>
            <w:vAlign w:val="center"/>
          </w:tcPr>
          <w:p w14:paraId="0DCDAB26">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r w14:paraId="331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0" w:type="dxa"/>
            <w:vMerge w:val="continue"/>
            <w:tcBorders>
              <w:left w:val="single" w:color="auto" w:sz="4" w:space="0"/>
              <w:bottom w:val="single" w:color="auto" w:sz="4" w:space="0"/>
              <w:right w:val="single" w:color="auto" w:sz="4" w:space="0"/>
            </w:tcBorders>
            <w:noWrap/>
            <w:vAlign w:val="center"/>
          </w:tcPr>
          <w:p w14:paraId="22B5826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c>
          <w:tcPr>
            <w:tcW w:w="1440" w:type="dxa"/>
            <w:tcBorders>
              <w:top w:val="single" w:color="auto" w:sz="4" w:space="0"/>
              <w:left w:val="single" w:color="auto" w:sz="4" w:space="0"/>
              <w:bottom w:val="single" w:color="auto" w:sz="4" w:space="0"/>
              <w:right w:val="single" w:color="auto" w:sz="4" w:space="0"/>
            </w:tcBorders>
            <w:noWrap/>
            <w:vAlign w:val="center"/>
          </w:tcPr>
          <w:p w14:paraId="7336F4D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学科门类、专业（5分）</w:t>
            </w:r>
          </w:p>
        </w:tc>
        <w:tc>
          <w:tcPr>
            <w:tcW w:w="4440" w:type="dxa"/>
            <w:tcBorders>
              <w:top w:val="single" w:color="auto" w:sz="4" w:space="0"/>
              <w:left w:val="single" w:color="auto" w:sz="4" w:space="0"/>
              <w:bottom w:val="single" w:color="auto" w:sz="4" w:space="0"/>
              <w:right w:val="single" w:color="auto" w:sz="4" w:space="0"/>
            </w:tcBorders>
            <w:noWrap/>
            <w:vAlign w:val="center"/>
          </w:tcPr>
          <w:p w14:paraId="55766EFE">
            <w:pPr>
              <w:keepNext w:val="0"/>
              <w:keepLines w:val="0"/>
              <w:widowControl w:val="0"/>
              <w:suppressLineNumbers w:val="0"/>
              <w:spacing w:before="0" w:beforeAutospacing="0" w:after="0" w:afterAutospacing="0" w:line="300" w:lineRule="exact"/>
              <w:ind w:left="0" w:right="0"/>
              <w:jc w:val="left"/>
              <w:rPr>
                <w:rFonts w:hint="eastAsia" w:ascii="仿宋_GB2312" w:hAnsi="仿宋_GB2312" w:eastAsia="仿宋_GB2312" w:cs="仿宋_GB2312"/>
                <w:color w:val="auto"/>
                <w:spacing w:val="0"/>
                <w:kern w:val="2"/>
                <w:sz w:val="24"/>
                <w:szCs w:val="24"/>
                <w:highlight w:val="none"/>
                <w:lang w:val="en-US" w:eastAsia="zh-CN" w:bidi="ar"/>
              </w:rPr>
            </w:pPr>
            <w:r>
              <w:rPr>
                <w:rFonts w:hint="eastAsia" w:ascii="仿宋_GB2312" w:hAnsi="仿宋_GB2312" w:eastAsia="仿宋_GB2312" w:cs="仿宋_GB2312"/>
                <w:color w:val="auto"/>
                <w:spacing w:val="0"/>
                <w:kern w:val="2"/>
                <w:sz w:val="24"/>
                <w:szCs w:val="24"/>
                <w:highlight w:val="none"/>
                <w:lang w:val="en-US" w:eastAsia="zh-CN" w:bidi="ar"/>
              </w:rPr>
              <w:t>社会学、公共管理、社会工作相关专业（5分）</w:t>
            </w:r>
          </w:p>
        </w:tc>
        <w:tc>
          <w:tcPr>
            <w:tcW w:w="3045" w:type="dxa"/>
            <w:vMerge w:val="continue"/>
            <w:tcBorders>
              <w:left w:val="single" w:color="auto" w:sz="4" w:space="0"/>
              <w:bottom w:val="single" w:color="auto" w:sz="4" w:space="0"/>
              <w:right w:val="single" w:color="auto" w:sz="4" w:space="0"/>
            </w:tcBorders>
            <w:noWrap/>
            <w:vAlign w:val="center"/>
          </w:tcPr>
          <w:p w14:paraId="795C831F">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tc>
      </w:tr>
    </w:tbl>
    <w:p w14:paraId="64D0DAA8">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p w14:paraId="4E0D632B">
      <w:pPr>
        <w:keepNext w:val="0"/>
        <w:keepLines w:val="0"/>
        <w:widowControl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spacing w:val="0"/>
          <w:kern w:val="2"/>
          <w:sz w:val="24"/>
          <w:szCs w:val="24"/>
          <w:highlight w:val="none"/>
          <w:lang w:val="en-US" w:eastAsia="zh-CN" w:bidi="ar"/>
        </w:rPr>
      </w:pPr>
    </w:p>
    <w:p w14:paraId="102B8C74">
      <w:pPr>
        <w:keepNext w:val="0"/>
        <w:keepLines w:val="0"/>
        <w:widowControl w:val="0"/>
        <w:suppressLineNumbers w:val="0"/>
        <w:spacing w:before="0" w:beforeAutospacing="0" w:after="0" w:afterAutospacing="0" w:line="300" w:lineRule="exact"/>
        <w:ind w:left="0" w:right="0"/>
        <w:jc w:val="center"/>
        <w:rPr>
          <w:rFonts w:hint="default" w:ascii="仿宋_GB2312" w:hAnsi="仿宋_GB2312" w:eastAsia="仿宋_GB2312" w:cs="仿宋_GB2312"/>
          <w:color w:val="auto"/>
          <w:spacing w:val="0"/>
          <w:kern w:val="2"/>
          <w:sz w:val="24"/>
          <w:szCs w:val="24"/>
          <w:highlight w:val="none"/>
          <w:lang w:val="en-US" w:eastAsia="zh-CN" w:bidi="ar"/>
        </w:rPr>
      </w:pPr>
    </w:p>
    <w:p w14:paraId="5B533DAB">
      <w:bookmarkStart w:id="0" w:name="_GoBack"/>
      <w:bookmarkEnd w:id="0"/>
    </w:p>
    <w:sectPr>
      <w:headerReference r:id="rId3" w:type="default"/>
      <w:footerReference r:id="rId4" w:type="default"/>
      <w:pgSz w:w="11906" w:h="16838"/>
      <w:pgMar w:top="1474" w:right="1474" w:bottom="1474" w:left="1474" w:header="851" w:footer="992" w:gutter="0"/>
      <w:pgNumType w:fmt="numberInDash" w:start="1"/>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畅手迹"/>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畅手迹"/>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2B2">
    <w:pPr>
      <w:pStyle w:val="3"/>
      <w:rPr>
        <w:rFonts w:eastAsia="宋体"/>
        <w:spacing w:val="0"/>
      </w:rPr>
    </w:pPr>
    <w:r>
      <w:rPr>
        <w:rFonts w:eastAsia="宋体"/>
        <w:spacing w:val="0"/>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E7078">
                          <w:pPr>
                            <w:pStyle w:val="3"/>
                            <w:rPr>
                              <w:rFonts w:hint="eastAsia" w:ascii="宋体" w:hAnsi="宋体" w:eastAsia="宋体" w:cs="宋体"/>
                              <w:spacing w:val="0"/>
                              <w:sz w:val="28"/>
                              <w:szCs w:val="28"/>
                              <w:lang w:eastAsia="zh-CN"/>
                            </w:rPr>
                          </w:pPr>
                          <w:r>
                            <w:rPr>
                              <w:rFonts w:hint="eastAsia" w:ascii="宋体" w:hAnsi="宋体" w:eastAsia="宋体" w:cs="宋体"/>
                              <w:spacing w:val="0"/>
                              <w:sz w:val="28"/>
                              <w:szCs w:val="28"/>
                              <w:lang w:eastAsia="zh-CN"/>
                            </w:rPr>
                            <w:fldChar w:fldCharType="begin"/>
                          </w:r>
                          <w:r>
                            <w:rPr>
                              <w:rFonts w:hint="eastAsia" w:ascii="宋体" w:hAnsi="宋体" w:eastAsia="宋体" w:cs="宋体"/>
                              <w:spacing w:val="0"/>
                              <w:sz w:val="28"/>
                              <w:szCs w:val="28"/>
                              <w:lang w:eastAsia="zh-CN"/>
                            </w:rPr>
                            <w:instrText xml:space="preserve"> PAGE  \* MERGEFORMAT </w:instrText>
                          </w:r>
                          <w:r>
                            <w:rPr>
                              <w:rFonts w:hint="eastAsia" w:ascii="宋体" w:hAnsi="宋体" w:eastAsia="宋体" w:cs="宋体"/>
                              <w:spacing w:val="0"/>
                              <w:sz w:val="28"/>
                              <w:szCs w:val="28"/>
                              <w:lang w:eastAsia="zh-CN"/>
                            </w:rPr>
                            <w:fldChar w:fldCharType="separate"/>
                          </w:r>
                          <w:r>
                            <w:rPr>
                              <w:rFonts w:hint="eastAsia" w:ascii="宋体" w:hAnsi="宋体" w:eastAsia="宋体" w:cs="宋体"/>
                              <w:spacing w:val="0"/>
                              <w:sz w:val="28"/>
                              <w:szCs w:val="28"/>
                              <w:lang w:eastAsia="zh-CN"/>
                            </w:rPr>
                            <w:t>1</w:t>
                          </w:r>
                          <w:r>
                            <w:rPr>
                              <w:rFonts w:hint="eastAsia" w:ascii="宋体" w:hAnsi="宋体" w:eastAsia="宋体" w:cs="宋体"/>
                              <w:spacing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8AE7078">
                    <w:pPr>
                      <w:pStyle w:val="3"/>
                      <w:rPr>
                        <w:rFonts w:hint="eastAsia" w:ascii="宋体" w:hAnsi="宋体" w:eastAsia="宋体" w:cs="宋体"/>
                        <w:spacing w:val="0"/>
                        <w:sz w:val="28"/>
                        <w:szCs w:val="28"/>
                        <w:lang w:eastAsia="zh-CN"/>
                      </w:rPr>
                    </w:pPr>
                    <w:r>
                      <w:rPr>
                        <w:rFonts w:hint="eastAsia" w:ascii="宋体" w:hAnsi="宋体" w:eastAsia="宋体" w:cs="宋体"/>
                        <w:spacing w:val="0"/>
                        <w:sz w:val="28"/>
                        <w:szCs w:val="28"/>
                        <w:lang w:eastAsia="zh-CN"/>
                      </w:rPr>
                      <w:fldChar w:fldCharType="begin"/>
                    </w:r>
                    <w:r>
                      <w:rPr>
                        <w:rFonts w:hint="eastAsia" w:ascii="宋体" w:hAnsi="宋体" w:eastAsia="宋体" w:cs="宋体"/>
                        <w:spacing w:val="0"/>
                        <w:sz w:val="28"/>
                        <w:szCs w:val="28"/>
                        <w:lang w:eastAsia="zh-CN"/>
                      </w:rPr>
                      <w:instrText xml:space="preserve"> PAGE  \* MERGEFORMAT </w:instrText>
                    </w:r>
                    <w:r>
                      <w:rPr>
                        <w:rFonts w:hint="eastAsia" w:ascii="宋体" w:hAnsi="宋体" w:eastAsia="宋体" w:cs="宋体"/>
                        <w:spacing w:val="0"/>
                        <w:sz w:val="28"/>
                        <w:szCs w:val="28"/>
                        <w:lang w:eastAsia="zh-CN"/>
                      </w:rPr>
                      <w:fldChar w:fldCharType="separate"/>
                    </w:r>
                    <w:r>
                      <w:rPr>
                        <w:rFonts w:hint="eastAsia" w:ascii="宋体" w:hAnsi="宋体" w:eastAsia="宋体" w:cs="宋体"/>
                        <w:spacing w:val="0"/>
                        <w:sz w:val="28"/>
                        <w:szCs w:val="28"/>
                        <w:lang w:eastAsia="zh-CN"/>
                      </w:rPr>
                      <w:t>1</w:t>
                    </w:r>
                    <w:r>
                      <w:rPr>
                        <w:rFonts w:hint="eastAsia" w:ascii="宋体" w:hAnsi="宋体" w:eastAsia="宋体" w:cs="宋体"/>
                        <w:spacing w:val="0"/>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278C">
    <w:pPr>
      <w:pStyle w:val="4"/>
      <w:pBdr>
        <w:bottom w:val="none" w:color="auto" w:sz="0" w:space="0"/>
      </w:pBdr>
      <w:rPr>
        <w:rFonts w:eastAsia="宋体"/>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EA1C82"/>
    <w:rsid w:val="56BFF995"/>
    <w:rsid w:val="FBEA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23"/>
      <w:kern w:val="2"/>
      <w:sz w:val="44"/>
      <w:szCs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5">
    <w:name w:val="Body Text First Indent 2"/>
    <w:basedOn w:val="2"/>
    <w:qFormat/>
    <w:uiPriority w:val="0"/>
    <w:pPr>
      <w:ind w:firstLine="420" w:firstLineChars="200"/>
    </w:p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2026-05-27T09:11:00Z</dcterms:created>
  <dc:creator>携酒向天涯</dc:creator>
  <cp:lastModifiedBy>携酒向天涯</cp:lastModifiedBy>
  <dcterms:modified xsi:type="dcterms:W3CDTF">2026-05-27T09:11:32Z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F515DCCF09422E1CAE44166A0C890668_41</vt:lpwstr>
  </property>
</Properties>
</file>