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57" w:rsidRDefault="00D11757" w:rsidP="00D11757">
      <w:pPr>
        <w:widowControl/>
        <w:shd w:val="clear" w:color="auto" w:fill="FFFFFF"/>
        <w:spacing w:line="576" w:lineRule="exact"/>
        <w:jc w:val="left"/>
        <w:rPr>
          <w:rFonts w:ascii="黑体" w:eastAsia="黑体" w:hAnsi="黑体"/>
        </w:rPr>
      </w:pPr>
      <w:r>
        <w:rPr>
          <w:rFonts w:ascii="黑体" w:eastAsia="黑体" w:hAnsi="黑体" w:hint="eastAsia"/>
        </w:rPr>
        <w:t>附件1</w:t>
      </w:r>
    </w:p>
    <w:p w:rsidR="00D11757" w:rsidRDefault="00D11757" w:rsidP="00D11757">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岗位和条件要求一览表</w:t>
      </w:r>
    </w:p>
    <w:tbl>
      <w:tblPr>
        <w:tblW w:w="14885" w:type="dxa"/>
        <w:tblLayout w:type="fixed"/>
        <w:tblLook w:val="04A0" w:firstRow="1" w:lastRow="0" w:firstColumn="1" w:lastColumn="0" w:noHBand="0" w:noVBand="1"/>
      </w:tblPr>
      <w:tblGrid>
        <w:gridCol w:w="456"/>
        <w:gridCol w:w="679"/>
        <w:gridCol w:w="567"/>
        <w:gridCol w:w="851"/>
        <w:gridCol w:w="708"/>
        <w:gridCol w:w="567"/>
        <w:gridCol w:w="567"/>
        <w:gridCol w:w="709"/>
        <w:gridCol w:w="1559"/>
        <w:gridCol w:w="6096"/>
        <w:gridCol w:w="708"/>
        <w:gridCol w:w="1418"/>
      </w:tblGrid>
      <w:tr w:rsidR="00D11757" w:rsidTr="004468DD">
        <w:trPr>
          <w:trHeight w:val="478"/>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bookmarkStart w:id="0" w:name="_GoBack"/>
            <w:bookmarkEnd w:id="0"/>
            <w:r>
              <w:rPr>
                <w:rFonts w:ascii="仿宋_GB2312" w:eastAsia="仿宋_GB2312" w:hAnsi="宋体" w:cs="仿宋_GB2312" w:hint="eastAsia"/>
                <w:color w:val="000000"/>
                <w:kern w:val="0"/>
                <w:sz w:val="24"/>
                <w:szCs w:val="24"/>
                <w:lang w:bidi="ar"/>
              </w:rPr>
              <w:t>序号</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主管单位</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招聘单位</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招聘岗位</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招聘人数</w:t>
            </w:r>
          </w:p>
        </w:tc>
        <w:tc>
          <w:tcPr>
            <w:tcW w:w="89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招聘条件要求</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单位地址</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主要职能</w:t>
            </w:r>
          </w:p>
        </w:tc>
      </w:tr>
      <w:tr w:rsidR="00D11757" w:rsidTr="004468DD">
        <w:trPr>
          <w:trHeight w:val="815"/>
        </w:trPr>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center"/>
              <w:rPr>
                <w:rFonts w:ascii="仿宋_GB2312" w:eastAsia="仿宋_GB2312" w:hAnsi="宋体" w:cs="仿宋_GB2312"/>
                <w:color w:val="000000"/>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center"/>
              <w:rPr>
                <w:rFonts w:ascii="仿宋_GB2312" w:eastAsia="仿宋_GB2312" w:hAnsi="宋体" w:cs="仿宋_GB2312"/>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center"/>
              <w:rPr>
                <w:rFonts w:ascii="仿宋_GB2312" w:eastAsia="仿宋_GB2312" w:hAnsi="宋体" w:cs="仿宋_GB2312"/>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岗位</w:t>
            </w:r>
            <w:r>
              <w:rPr>
                <w:rFonts w:ascii="仿宋_GB2312" w:eastAsia="仿宋_GB2312" w:hAnsi="宋体" w:cs="仿宋_GB2312" w:hint="eastAsia"/>
                <w:color w:val="000000"/>
                <w:kern w:val="0"/>
                <w:sz w:val="24"/>
                <w:szCs w:val="24"/>
                <w:lang w:bidi="ar"/>
              </w:rPr>
              <w:br/>
              <w:t>类别</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岗位</w:t>
            </w:r>
            <w:r>
              <w:rPr>
                <w:rFonts w:ascii="仿宋_GB2312" w:eastAsia="仿宋_GB2312" w:hAnsi="宋体" w:cs="仿宋_GB2312" w:hint="eastAsia"/>
                <w:color w:val="000000"/>
                <w:kern w:val="0"/>
                <w:sz w:val="24"/>
                <w:szCs w:val="24"/>
                <w:lang w:bidi="ar"/>
              </w:rPr>
              <w:br/>
              <w:t>名称</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center"/>
              <w:rPr>
                <w:rFonts w:ascii="仿宋_GB2312" w:eastAsia="仿宋_GB2312" w:hAnsi="宋体" w:cs="仿宋_GB2312"/>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年龄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学历</w:t>
            </w:r>
            <w:r>
              <w:rPr>
                <w:rFonts w:ascii="仿宋_GB2312" w:eastAsia="仿宋_GB2312" w:hAnsi="宋体" w:cs="仿宋_GB2312" w:hint="eastAsia"/>
                <w:color w:val="000000"/>
                <w:kern w:val="0"/>
                <w:sz w:val="24"/>
                <w:szCs w:val="24"/>
                <w:lang w:bidi="ar"/>
              </w:rPr>
              <w:br/>
              <w:t>或学位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专业条件要求</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其他条件要求</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left"/>
              <w:rPr>
                <w:rFonts w:ascii="仿宋_GB2312" w:eastAsia="仿宋_GB2312" w:hAnsi="宋体" w:cs="仿宋_GB2312"/>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jc w:val="left"/>
              <w:rPr>
                <w:rFonts w:ascii="仿宋_GB2312" w:eastAsia="仿宋_GB2312" w:hAnsi="宋体" w:cs="仿宋_GB2312"/>
                <w:color w:val="000000"/>
                <w:sz w:val="24"/>
                <w:szCs w:val="24"/>
              </w:rPr>
            </w:pPr>
          </w:p>
        </w:tc>
      </w:tr>
      <w:tr w:rsidR="00D11757" w:rsidTr="004468DD">
        <w:trPr>
          <w:trHeight w:val="5529"/>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1757" w:rsidRDefault="00D11757" w:rsidP="0084262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highlight w:val="yellow"/>
              </w:rPr>
            </w:pPr>
            <w:r>
              <w:rPr>
                <w:rFonts w:ascii="仿宋_GB2312" w:eastAsia="仿宋_GB2312" w:hAnsi="宋体" w:cs="仿宋_GB2312" w:hint="eastAsia"/>
                <w:color w:val="000000"/>
                <w:sz w:val="20"/>
                <w:szCs w:val="20"/>
              </w:rPr>
              <w:t>宝兴县财政局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宝兴县财政投资评审中心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专业技术岗位</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工作人员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Pr="002B6E3B" w:rsidRDefault="00D11757" w:rsidP="0084262B">
            <w:pPr>
              <w:widowControl/>
              <w:jc w:val="left"/>
              <w:textAlignment w:val="center"/>
              <w:rPr>
                <w:rFonts w:ascii="仿宋_GB2312" w:eastAsia="仿宋_GB2312" w:hAnsi="宋体" w:cs="仿宋_GB2312"/>
                <w:color w:val="000000"/>
                <w:sz w:val="20"/>
                <w:szCs w:val="20"/>
              </w:rPr>
            </w:pPr>
            <w:r w:rsidRPr="002B6E3B">
              <w:rPr>
                <w:rFonts w:ascii="仿宋_GB2312" w:eastAsia="仿宋_GB2312" w:hAnsi="宋体" w:cs="仿宋_GB2312" w:hint="eastAsia"/>
                <w:color w:val="000000"/>
                <w:kern w:val="0"/>
                <w:sz w:val="20"/>
                <w:szCs w:val="20"/>
                <w:lang w:bidi="ar"/>
              </w:rPr>
              <w:t>45周岁（含）及以下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Pr="002B6E3B" w:rsidRDefault="00D11757" w:rsidP="0084262B">
            <w:pPr>
              <w:widowControl/>
              <w:jc w:val="left"/>
              <w:textAlignment w:val="center"/>
              <w:rPr>
                <w:rFonts w:ascii="仿宋_GB2312" w:eastAsia="仿宋_GB2312" w:hAnsi="宋体" w:cs="仿宋_GB2312"/>
                <w:color w:val="000000"/>
                <w:sz w:val="20"/>
                <w:szCs w:val="20"/>
              </w:rPr>
            </w:pPr>
            <w:r w:rsidRPr="002B6E3B">
              <w:rPr>
                <w:rFonts w:ascii="仿宋_GB2312" w:eastAsia="仿宋_GB2312" w:hAnsi="宋体" w:cs="仿宋_GB2312" w:hint="eastAsia"/>
                <w:color w:val="000000"/>
                <w:kern w:val="0"/>
                <w:sz w:val="20"/>
                <w:szCs w:val="20"/>
                <w:lang w:bidi="ar"/>
              </w:rPr>
              <w:t>本科及以上学历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Pr="002B6E3B" w:rsidRDefault="00D11757" w:rsidP="0084262B">
            <w:pPr>
              <w:widowControl/>
              <w:jc w:val="left"/>
              <w:textAlignment w:val="center"/>
              <w:rPr>
                <w:rFonts w:ascii="仿宋_GB2312" w:eastAsia="仿宋_GB2312" w:hAnsi="宋体" w:cs="仿宋_GB2312"/>
                <w:color w:val="000000"/>
                <w:kern w:val="0"/>
                <w:sz w:val="20"/>
                <w:szCs w:val="20"/>
                <w:lang w:bidi="ar"/>
              </w:rPr>
            </w:pPr>
            <w:r w:rsidRPr="002B6E3B">
              <w:rPr>
                <w:rFonts w:ascii="仿宋_GB2312" w:eastAsia="仿宋_GB2312" w:hAnsi="宋体" w:cs="仿宋_GB2312" w:hint="eastAsia"/>
                <w:b/>
                <w:color w:val="000000"/>
                <w:kern w:val="0"/>
                <w:sz w:val="20"/>
                <w:szCs w:val="20"/>
                <w:lang w:bidi="ar"/>
              </w:rPr>
              <w:t>本科：</w:t>
            </w:r>
            <w:r w:rsidRPr="002B6E3B">
              <w:rPr>
                <w:rFonts w:ascii="仿宋_GB2312" w:eastAsia="仿宋_GB2312" w:hAnsi="宋体" w:cs="仿宋_GB2312" w:hint="eastAsia"/>
                <w:color w:val="000000"/>
                <w:kern w:val="0"/>
                <w:sz w:val="20"/>
                <w:szCs w:val="20"/>
                <w:lang w:bidi="ar"/>
              </w:rPr>
              <w:t>土木工程、交通工程、建筑学、城乡规划、工程造价、工程管理、工程审计、建筑经济管理</w:t>
            </w:r>
          </w:p>
          <w:p w:rsidR="00D11757" w:rsidRPr="002B6E3B" w:rsidRDefault="00D11757" w:rsidP="0084262B">
            <w:pPr>
              <w:widowControl/>
              <w:jc w:val="left"/>
              <w:textAlignment w:val="center"/>
              <w:rPr>
                <w:rFonts w:ascii="仿宋_GB2312" w:eastAsia="仿宋_GB2312" w:hAnsi="宋体" w:cs="仿宋_GB2312"/>
                <w:color w:val="000000"/>
                <w:kern w:val="0"/>
                <w:sz w:val="20"/>
                <w:szCs w:val="20"/>
                <w:lang w:bidi="ar"/>
              </w:rPr>
            </w:pPr>
            <w:r w:rsidRPr="002B6E3B">
              <w:rPr>
                <w:rFonts w:ascii="仿宋_GB2312" w:eastAsia="仿宋_GB2312" w:hAnsi="宋体" w:cs="仿宋_GB2312" w:hint="eastAsia"/>
                <w:b/>
                <w:color w:val="000000"/>
                <w:kern w:val="0"/>
                <w:sz w:val="20"/>
                <w:szCs w:val="20"/>
                <w:lang w:bidi="ar"/>
              </w:rPr>
              <w:t>研究生：</w:t>
            </w:r>
            <w:r w:rsidRPr="002B6E3B">
              <w:rPr>
                <w:rFonts w:ascii="仿宋_GB2312" w:eastAsia="仿宋_GB2312" w:hAnsi="宋体" w:cs="仿宋_GB2312" w:hint="eastAsia"/>
                <w:color w:val="000000"/>
                <w:kern w:val="0"/>
                <w:sz w:val="20"/>
                <w:szCs w:val="20"/>
                <w:lang w:bidi="ar"/>
              </w:rPr>
              <w:t>土木工程、建筑学、城乡规划学、管理科学与工程、土木水利、工程管理。</w:t>
            </w:r>
          </w:p>
          <w:p w:rsidR="00D11757" w:rsidRPr="002B6E3B" w:rsidRDefault="00D11757" w:rsidP="0084262B">
            <w:pPr>
              <w:widowControl/>
              <w:jc w:val="left"/>
              <w:textAlignment w:val="center"/>
              <w:rPr>
                <w:rFonts w:ascii="仿宋_GB2312" w:eastAsia="仿宋_GB2312" w:hAnsi="宋体" w:cs="仿宋_GB2312"/>
                <w:color w:val="000000"/>
                <w:kern w:val="0"/>
                <w:sz w:val="20"/>
                <w:szCs w:val="20"/>
                <w:lang w:bidi="ar"/>
              </w:rPr>
            </w:pPr>
          </w:p>
          <w:p w:rsidR="00D11757" w:rsidRPr="002B6E3B" w:rsidRDefault="00D11757" w:rsidP="0084262B">
            <w:pPr>
              <w:widowControl/>
              <w:jc w:val="left"/>
              <w:textAlignment w:val="center"/>
              <w:rPr>
                <w:rFonts w:ascii="仿宋_GB2312" w:eastAsia="仿宋_GB2312" w:hAnsi="宋体" w:cs="仿宋_GB2312"/>
                <w:color w:val="000000"/>
                <w:kern w:val="0"/>
                <w:sz w:val="20"/>
                <w:szCs w:val="20"/>
                <w:lang w:bidi="ar"/>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Pr="00903745" w:rsidRDefault="00D11757" w:rsidP="0084262B">
            <w:pPr>
              <w:widowControl/>
              <w:jc w:val="left"/>
              <w:textAlignment w:val="center"/>
              <w:rPr>
                <w:rFonts w:ascii="仿宋_GB2312" w:eastAsia="仿宋_GB2312" w:hAnsi="宋体" w:cs="仿宋_GB2312"/>
                <w:kern w:val="0"/>
                <w:sz w:val="20"/>
                <w:szCs w:val="20"/>
                <w:lang w:bidi="ar"/>
              </w:rPr>
            </w:pPr>
            <w:r w:rsidRPr="004468DD">
              <w:rPr>
                <w:rFonts w:ascii="仿宋_GB2312" w:eastAsia="仿宋_GB2312" w:hAnsi="宋体" w:cs="仿宋_GB2312" w:hint="eastAsia"/>
                <w:b/>
                <w:kern w:val="0"/>
                <w:sz w:val="20"/>
                <w:szCs w:val="20"/>
                <w:lang w:bidi="ar"/>
              </w:rPr>
              <w:t>1.执业资质。</w:t>
            </w:r>
            <w:r w:rsidRPr="00903745">
              <w:rPr>
                <w:rFonts w:ascii="仿宋_GB2312" w:eastAsia="仿宋_GB2312" w:hAnsi="宋体" w:cs="仿宋_GB2312" w:hint="eastAsia"/>
                <w:kern w:val="0"/>
                <w:sz w:val="20"/>
                <w:szCs w:val="20"/>
                <w:lang w:bidi="ar"/>
              </w:rPr>
              <w:t>已取得一级注册造价工程师（房建或安装）职业资格证书且具有八年及以上地方财政投资评审工作经历或在造价咨询企业相关工作经历。</w:t>
            </w:r>
          </w:p>
          <w:p w:rsidR="00D11757" w:rsidRPr="00903745" w:rsidRDefault="00D11757" w:rsidP="0084262B">
            <w:pPr>
              <w:widowControl/>
              <w:jc w:val="left"/>
              <w:textAlignment w:val="center"/>
              <w:rPr>
                <w:rFonts w:ascii="仿宋_GB2312" w:eastAsia="仿宋_GB2312" w:hAnsi="宋体" w:cs="仿宋_GB2312"/>
                <w:kern w:val="0"/>
                <w:sz w:val="20"/>
                <w:szCs w:val="20"/>
                <w:lang w:bidi="ar"/>
              </w:rPr>
            </w:pPr>
            <w:r w:rsidRPr="004468DD">
              <w:rPr>
                <w:rFonts w:ascii="仿宋_GB2312" w:eastAsia="仿宋_GB2312" w:hAnsi="宋体" w:cs="仿宋_GB2312" w:hint="eastAsia"/>
                <w:b/>
                <w:kern w:val="0"/>
                <w:sz w:val="20"/>
                <w:szCs w:val="20"/>
                <w:lang w:bidi="ar"/>
              </w:rPr>
              <w:t>2.近三年工作业绩</w:t>
            </w:r>
            <w:bookmarkStart w:id="1" w:name="OLE_LINK41"/>
            <w:bookmarkStart w:id="2" w:name="OLE_LINK42"/>
            <w:r w:rsidRPr="004468DD">
              <w:rPr>
                <w:rFonts w:ascii="仿宋_GB2312" w:eastAsia="仿宋_GB2312" w:hAnsi="宋体" w:cs="仿宋_GB2312" w:hint="eastAsia"/>
                <w:b/>
                <w:kern w:val="0"/>
                <w:sz w:val="20"/>
                <w:szCs w:val="20"/>
                <w:lang w:bidi="ar"/>
              </w:rPr>
              <w:t>。</w:t>
            </w:r>
            <w:bookmarkEnd w:id="1"/>
            <w:bookmarkEnd w:id="2"/>
            <w:r w:rsidRPr="002A3EA2">
              <w:rPr>
                <w:rFonts w:ascii="仿宋_GB2312" w:eastAsia="仿宋_GB2312" w:hAnsi="宋体" w:cs="仿宋_GB2312" w:hint="eastAsia"/>
                <w:kern w:val="0"/>
                <w:sz w:val="20"/>
                <w:szCs w:val="20"/>
                <w:lang w:bidi="ar"/>
              </w:rPr>
              <w:t>工程造价咨询成果</w:t>
            </w:r>
            <w:r>
              <w:rPr>
                <w:rFonts w:ascii="仿宋_GB2312" w:eastAsia="仿宋_GB2312" w:hAnsi="宋体" w:cs="仿宋_GB2312" w:hint="eastAsia"/>
                <w:kern w:val="0"/>
                <w:sz w:val="20"/>
                <w:szCs w:val="20"/>
                <w:lang w:bidi="ar"/>
              </w:rPr>
              <w:t>：</w:t>
            </w:r>
            <w:r w:rsidRPr="002A3EA2">
              <w:rPr>
                <w:rFonts w:ascii="仿宋_GB2312" w:eastAsia="仿宋_GB2312" w:hAnsi="宋体" w:cs="仿宋_GB2312" w:hint="eastAsia"/>
                <w:kern w:val="0"/>
                <w:sz w:val="20"/>
                <w:szCs w:val="20"/>
                <w:lang w:bidi="ar"/>
              </w:rPr>
              <w:t>提供至少3个政府投资项目的造价咨询报告，每个项目投资额须在3000</w:t>
            </w:r>
            <w:r>
              <w:rPr>
                <w:rFonts w:ascii="仿宋_GB2312" w:eastAsia="仿宋_GB2312" w:hAnsi="宋体" w:cs="仿宋_GB2312" w:hint="eastAsia"/>
                <w:kern w:val="0"/>
                <w:sz w:val="20"/>
                <w:szCs w:val="20"/>
                <w:lang w:bidi="ar"/>
              </w:rPr>
              <w:t>万元及以上。</w:t>
            </w:r>
            <w:proofErr w:type="gramStart"/>
            <w:r w:rsidRPr="00040375">
              <w:rPr>
                <w:rFonts w:ascii="仿宋_GB2312" w:eastAsia="仿宋_GB2312" w:hAnsi="宋体" w:cs="仿宋_GB2312" w:hint="eastAsia"/>
                <w:kern w:val="0"/>
                <w:sz w:val="20"/>
                <w:szCs w:val="20"/>
                <w:lang w:bidi="ar"/>
              </w:rPr>
              <w:t>算量与</w:t>
            </w:r>
            <w:proofErr w:type="gramEnd"/>
            <w:r w:rsidRPr="00040375">
              <w:rPr>
                <w:rFonts w:ascii="仿宋_GB2312" w:eastAsia="仿宋_GB2312" w:hAnsi="宋体" w:cs="仿宋_GB2312" w:hint="eastAsia"/>
                <w:kern w:val="0"/>
                <w:sz w:val="20"/>
                <w:szCs w:val="20"/>
                <w:lang w:bidi="ar"/>
              </w:rPr>
              <w:t>计价成果文件</w:t>
            </w:r>
            <w:r>
              <w:rPr>
                <w:rFonts w:ascii="仿宋_GB2312" w:eastAsia="仿宋_GB2312" w:hAnsi="宋体" w:cs="仿宋_GB2312" w:hint="eastAsia"/>
                <w:kern w:val="0"/>
                <w:sz w:val="20"/>
                <w:szCs w:val="20"/>
                <w:lang w:bidi="ar"/>
              </w:rPr>
              <w:t>：</w:t>
            </w:r>
            <w:r w:rsidRPr="002A3EA2">
              <w:rPr>
                <w:rFonts w:ascii="仿宋_GB2312" w:eastAsia="仿宋_GB2312" w:hAnsi="宋体" w:cs="仿宋_GB2312" w:hint="eastAsia"/>
                <w:kern w:val="0"/>
                <w:sz w:val="20"/>
                <w:szCs w:val="20"/>
                <w:lang w:bidi="ar"/>
              </w:rPr>
              <w:t>由本人独立编制的广联</w:t>
            </w:r>
            <w:proofErr w:type="gramStart"/>
            <w:r w:rsidRPr="002A3EA2">
              <w:rPr>
                <w:rFonts w:ascii="仿宋_GB2312" w:eastAsia="仿宋_GB2312" w:hAnsi="宋体" w:cs="仿宋_GB2312" w:hint="eastAsia"/>
                <w:kern w:val="0"/>
                <w:sz w:val="20"/>
                <w:szCs w:val="20"/>
                <w:lang w:bidi="ar"/>
              </w:rPr>
              <w:t>达算量软件</w:t>
            </w:r>
            <w:proofErr w:type="gramEnd"/>
            <w:r w:rsidRPr="002A3EA2">
              <w:rPr>
                <w:rFonts w:ascii="仿宋_GB2312" w:eastAsia="仿宋_GB2312" w:hAnsi="宋体" w:cs="仿宋_GB2312" w:hint="eastAsia"/>
                <w:kern w:val="0"/>
                <w:sz w:val="20"/>
                <w:szCs w:val="20"/>
                <w:lang w:bidi="ar"/>
              </w:rPr>
              <w:t>模型文件一份</w:t>
            </w:r>
            <w:r>
              <w:rPr>
                <w:rFonts w:ascii="仿宋_GB2312" w:eastAsia="仿宋_GB2312" w:hAnsi="宋体" w:cs="仿宋_GB2312" w:hint="eastAsia"/>
                <w:kern w:val="0"/>
                <w:sz w:val="20"/>
                <w:szCs w:val="20"/>
                <w:lang w:bidi="ar"/>
              </w:rPr>
              <w:t>，</w:t>
            </w:r>
            <w:r w:rsidRPr="002A3EA2">
              <w:rPr>
                <w:rFonts w:ascii="仿宋_GB2312" w:eastAsia="仿宋_GB2312" w:hAnsi="宋体" w:cs="仿宋_GB2312" w:hint="eastAsia"/>
                <w:kern w:val="0"/>
                <w:sz w:val="20"/>
                <w:szCs w:val="20"/>
                <w:lang w:bidi="ar"/>
              </w:rPr>
              <w:t>由本人独立编制的宏业清单计价成果文件一份</w:t>
            </w:r>
            <w:r>
              <w:rPr>
                <w:rFonts w:ascii="仿宋_GB2312" w:eastAsia="仿宋_GB2312" w:hAnsi="宋体" w:cs="仿宋_GB2312" w:hint="eastAsia"/>
                <w:kern w:val="0"/>
                <w:sz w:val="20"/>
                <w:szCs w:val="20"/>
                <w:lang w:bidi="ar"/>
              </w:rPr>
              <w:t>。获奖证书（如有）。</w:t>
            </w:r>
          </w:p>
          <w:p w:rsidR="00D11757" w:rsidRPr="003D2971" w:rsidRDefault="00D11757" w:rsidP="0084262B">
            <w:pPr>
              <w:widowControl/>
              <w:jc w:val="left"/>
              <w:textAlignment w:val="center"/>
              <w:rPr>
                <w:rFonts w:ascii="仿宋_GB2312" w:eastAsia="仿宋_GB2312" w:hAnsi="宋体" w:cs="仿宋_GB2312"/>
                <w:color w:val="000000"/>
                <w:kern w:val="0"/>
                <w:sz w:val="20"/>
                <w:szCs w:val="20"/>
                <w:lang w:bidi="ar"/>
              </w:rPr>
            </w:pPr>
            <w:r w:rsidRPr="004468DD">
              <w:rPr>
                <w:rFonts w:ascii="仿宋_GB2312" w:eastAsia="仿宋_GB2312" w:hAnsi="宋体" w:cs="仿宋_GB2312" w:hint="eastAsia"/>
                <w:b/>
                <w:kern w:val="0"/>
                <w:sz w:val="20"/>
                <w:szCs w:val="20"/>
                <w:lang w:bidi="ar"/>
              </w:rPr>
              <w:t>3.实际操作能力。</w:t>
            </w:r>
            <w:r w:rsidRPr="00903745">
              <w:rPr>
                <w:rFonts w:ascii="仿宋_GB2312" w:eastAsia="仿宋_GB2312" w:hAnsi="宋体" w:cs="仿宋_GB2312" w:hint="eastAsia"/>
                <w:color w:val="000000"/>
                <w:kern w:val="0"/>
                <w:sz w:val="20"/>
                <w:szCs w:val="20"/>
                <w:lang w:bidi="ar"/>
              </w:rPr>
              <w:t>能够高效精准地运用宏业清单计价、同</w:t>
            </w:r>
            <w:proofErr w:type="gramStart"/>
            <w:r w:rsidRPr="00903745">
              <w:rPr>
                <w:rFonts w:ascii="仿宋_GB2312" w:eastAsia="仿宋_GB2312" w:hAnsi="宋体" w:cs="仿宋_GB2312" w:hint="eastAsia"/>
                <w:color w:val="000000"/>
                <w:kern w:val="0"/>
                <w:sz w:val="20"/>
                <w:szCs w:val="20"/>
                <w:lang w:bidi="ar"/>
              </w:rPr>
              <w:t>望工程</w:t>
            </w:r>
            <w:proofErr w:type="gramEnd"/>
            <w:r w:rsidRPr="00903745">
              <w:rPr>
                <w:rFonts w:ascii="仿宋_GB2312" w:eastAsia="仿宋_GB2312" w:hAnsi="宋体" w:cs="仿宋_GB2312" w:hint="eastAsia"/>
                <w:color w:val="000000"/>
                <w:kern w:val="0"/>
                <w:sz w:val="20"/>
                <w:szCs w:val="20"/>
                <w:lang w:bidi="ar"/>
              </w:rPr>
              <w:t>造价、青山大禹等计价软件</w:t>
            </w:r>
            <w:proofErr w:type="gramStart"/>
            <w:r w:rsidRPr="00903745">
              <w:rPr>
                <w:rFonts w:ascii="仿宋_GB2312" w:eastAsia="仿宋_GB2312" w:hAnsi="宋体" w:cs="仿宋_GB2312" w:hint="eastAsia"/>
                <w:color w:val="000000"/>
                <w:kern w:val="0"/>
                <w:sz w:val="20"/>
                <w:szCs w:val="20"/>
                <w:lang w:bidi="ar"/>
              </w:rPr>
              <w:t>进行组价及</w:t>
            </w:r>
            <w:proofErr w:type="gramEnd"/>
            <w:r w:rsidRPr="00903745">
              <w:rPr>
                <w:rFonts w:ascii="仿宋_GB2312" w:eastAsia="仿宋_GB2312" w:hAnsi="宋体" w:cs="仿宋_GB2312" w:hint="eastAsia"/>
                <w:color w:val="000000"/>
                <w:kern w:val="0"/>
                <w:sz w:val="20"/>
                <w:szCs w:val="20"/>
                <w:lang w:bidi="ar"/>
              </w:rPr>
              <w:t>审核底稿的编制，精通清单计价规范（GB50500），能够独立完成定额选调、</w:t>
            </w:r>
            <w:proofErr w:type="gramStart"/>
            <w:r w:rsidRPr="00903745">
              <w:rPr>
                <w:rFonts w:ascii="仿宋_GB2312" w:eastAsia="仿宋_GB2312" w:hAnsi="宋体" w:cs="仿宋_GB2312" w:hint="eastAsia"/>
                <w:color w:val="000000"/>
                <w:kern w:val="0"/>
                <w:sz w:val="20"/>
                <w:szCs w:val="20"/>
                <w:lang w:bidi="ar"/>
              </w:rPr>
              <w:t>材料调差及</w:t>
            </w:r>
            <w:proofErr w:type="gramEnd"/>
            <w:r w:rsidRPr="00903745">
              <w:rPr>
                <w:rFonts w:ascii="仿宋_GB2312" w:eastAsia="仿宋_GB2312" w:hAnsi="宋体" w:cs="仿宋_GB2312" w:hint="eastAsia"/>
                <w:color w:val="000000"/>
                <w:kern w:val="0"/>
                <w:sz w:val="20"/>
                <w:szCs w:val="20"/>
                <w:lang w:bidi="ar"/>
              </w:rPr>
              <w:t>造价指标分析；精通广联达、斯维尔及其他计量软件，能处理复杂地下室、人防工程、斜板、异型结构，会使用模型对比功能快速定位送审模型的差异项；熟练使用CAD快速看图提取图纸信息；掌握Excel高级功能（数据透视表、高级公式）；会用PDF软件进行批注与对比；精通多版本对比、批量修改、工程量的计算，能</w:t>
            </w:r>
            <w:proofErr w:type="gramStart"/>
            <w:r w:rsidRPr="00903745">
              <w:rPr>
                <w:rFonts w:ascii="仿宋_GB2312" w:eastAsia="仿宋_GB2312" w:hAnsi="宋体" w:cs="仿宋_GB2312" w:hint="eastAsia"/>
                <w:color w:val="000000"/>
                <w:kern w:val="0"/>
                <w:sz w:val="20"/>
                <w:szCs w:val="20"/>
                <w:lang w:bidi="ar"/>
              </w:rPr>
              <w:t>熟练将</w:t>
            </w:r>
            <w:proofErr w:type="gramEnd"/>
            <w:r w:rsidRPr="00903745">
              <w:rPr>
                <w:rFonts w:ascii="仿宋_GB2312" w:eastAsia="仿宋_GB2312" w:hAnsi="宋体" w:cs="仿宋_GB2312" w:hint="eastAsia"/>
                <w:color w:val="000000"/>
                <w:kern w:val="0"/>
                <w:sz w:val="20"/>
                <w:szCs w:val="20"/>
                <w:lang w:bidi="ar"/>
              </w:rPr>
              <w:t>以上软件作为主要工具独立地开展造价评审工作。</w:t>
            </w:r>
          </w:p>
          <w:p w:rsidR="00D11757" w:rsidRPr="002B6E3B" w:rsidRDefault="00D11757" w:rsidP="0084262B">
            <w:pPr>
              <w:widowControl/>
              <w:jc w:val="left"/>
              <w:textAlignment w:val="center"/>
              <w:rPr>
                <w:rFonts w:ascii="仿宋_GB2312" w:eastAsia="仿宋_GB2312" w:hAnsi="宋体" w:cs="仿宋_GB2312"/>
                <w:color w:val="000000"/>
                <w:kern w:val="0"/>
                <w:sz w:val="20"/>
                <w:szCs w:val="20"/>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sz w:val="20"/>
                <w:szCs w:val="20"/>
              </w:rPr>
              <w:t>宝兴县灵关镇</w:t>
            </w:r>
            <w:proofErr w:type="gramEnd"/>
            <w:r>
              <w:rPr>
                <w:rFonts w:ascii="仿宋_GB2312" w:eastAsia="仿宋_GB2312" w:hAnsi="宋体" w:cs="仿宋_GB2312" w:hint="eastAsia"/>
                <w:color w:val="000000"/>
                <w:sz w:val="20"/>
                <w:szCs w:val="20"/>
              </w:rPr>
              <w:t>汉白玉博物馆3楼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757" w:rsidRDefault="00D11757" w:rsidP="0084262B">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负责财政投资评审审核、复核等工作</w:t>
            </w:r>
          </w:p>
        </w:tc>
      </w:tr>
    </w:tbl>
    <w:p w:rsidR="006E65D6" w:rsidRPr="00D11757" w:rsidRDefault="006E65D6"/>
    <w:sectPr w:rsidR="006E65D6" w:rsidRPr="00D11757" w:rsidSect="00D11757">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57"/>
    <w:rsid w:val="004468DD"/>
    <w:rsid w:val="006E65D6"/>
    <w:rsid w:val="00D1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2026-05-26T03:38:00Z</dcterms:created>
  <dcterms:modified xsi:type="dcterms:W3CDTF">2026-05-26T03:42:00Z</dcterms:modified>
</cp:coreProperties>
</file>