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napToGrid w:val="0"/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《公务员录用体检通用标准（试行）》</w:t>
      </w:r>
    </w:p>
    <w:p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第一条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第十二条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第十四条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第十八条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sectPr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9915A8D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character" w:styleId="7">
    <w:name w:val="page number"/>
    <w:basedOn w:val="6"/>
    <w:qFormat/>
    <w:uiPriority w:val="0"/>
    <w:rPr/>
  </w:style>
  <w:style w:type="table" w:styleId="9">
    <w:name w:val="Table Grid"/>
    <w:basedOn w:val="8"/>
    <w:qFormat/>
    <w:uiPriority w:val="3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2116</Words>
  <Characters>2180</Characters>
  <Lines>52</Lines>
  <Paragraphs>14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Administrator</cp:lastModifiedBy>
  <cp:lastPrinted>2023-01-04T02:42:00Z</cp:lastPrinted>
  <dcterms:modified xsi:type="dcterms:W3CDTF">2023-03-06T12:02:19Z</dcterms:modified>
  <dc:title>附件4：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  <property fmtid="{D5CDD505-2E9C-101B-9397-08002B2CF9AE}" pid="3" name="ICV">
    <vt:lpwstr>DA967ED33C7B4BE6A912E1FC1CEF47A1</vt:lpwstr>
  </property>
</Properties>
</file>