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小标宋_GBK" w:hAnsi="方正小标宋_GBK" w:eastAsia="方正小标宋_GBK" w:cs="方正小标宋_GBK"/>
          <w:sz w:val="28"/>
          <w:szCs w:val="28"/>
        </w:rPr>
      </w:pPr>
      <w:r>
        <w:rPr>
          <w:rFonts w:hint="eastAsia" w:ascii="黑体" w:hAnsi="黑体" w:eastAsia="黑体" w:cs="黑体"/>
          <w:spacing w:val="-6"/>
          <w:sz w:val="28"/>
          <w:szCs w:val="28"/>
        </w:rPr>
        <w:t>附件2</w:t>
      </w:r>
    </w:p>
    <w:p>
      <w:pPr>
        <w:spacing w:line="5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报考须知</w:t>
      </w:r>
    </w:p>
    <w:p>
      <w:pPr>
        <w:spacing w:line="500" w:lineRule="exact"/>
        <w:ind w:firstLine="560" w:firstLineChars="200"/>
        <w:rPr>
          <w:rFonts w:hint="eastAsia" w:ascii="黑体" w:hAnsi="黑体" w:eastAsia="黑体" w:cs="黑体"/>
          <w:sz w:val="28"/>
          <w:szCs w:val="28"/>
        </w:rPr>
      </w:pP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bookmarkStart w:id="0" w:name="_GoBack"/>
      <w:r>
        <w:rPr>
          <w:rFonts w:ascii="仿宋_GB2312" w:hAnsi="仿宋_GB2312" w:eastAsia="仿宋_GB2312" w:cs="仿宋_GB2312"/>
          <w:sz w:val="28"/>
          <w:szCs w:val="28"/>
        </w:rPr>
        <w:t>，应聘人员要认真阅读网上报名系统有关提示说明和诚信承诺书，提交的报名申请材料</w:t>
      </w:r>
      <w:bookmarkEnd w:id="0"/>
      <w:r>
        <w:rPr>
          <w:rFonts w:ascii="仿宋_GB2312" w:hAnsi="仿宋_GB2312" w:eastAsia="仿宋_GB2312" w:cs="仿宋_GB2312"/>
          <w:sz w:val="28"/>
          <w:szCs w:val="28"/>
        </w:rPr>
        <w:t>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岗位在大学专科、大学本科、研究生3个教育层次分别明确了学科专业（类）名称。应聘人员符合其中一个教育层次的专业要求即可应聘该岗位，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如果考生毕业证或学位证上的专业名称是一级学科（专业类）,而选调公告设置的专业条件是二级学科（专业）的,则以考生所在高校出具的证明材料进行综合认定。</w:t>
      </w:r>
    </w:p>
    <w:p>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三、最低服务期如何把握？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四、年度考核如何把握？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如要求“近</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年内年度考核均为称职（合格）及以上等次”是指2023、2024、2025年的年度考核，如截至目前尚未完成2025年年度考核工作的，可暂按称职（合格）来把握，最终以实际考核结果为准。如进入机关事业单位时间不足</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年，但已有的年度考核结果均无基本称职（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五</w:t>
      </w:r>
      <w:r>
        <w:rPr>
          <w:rFonts w:ascii="黑体" w:hAnsi="黑体" w:eastAsia="黑体" w:cs="黑体"/>
          <w:color w:val="auto"/>
          <w:sz w:val="28"/>
          <w:szCs w:val="28"/>
          <w:highlight w:val="none"/>
          <w:shd w:val="clear" w:color="auto" w:fill="auto"/>
        </w:rPr>
        <w:t>、本次</w:t>
      </w:r>
      <w:r>
        <w:rPr>
          <w:rFonts w:hint="eastAsia" w:ascii="黑体" w:hAnsi="黑体" w:eastAsia="黑体" w:cs="黑体"/>
          <w:color w:val="auto"/>
          <w:sz w:val="28"/>
          <w:szCs w:val="28"/>
          <w:highlight w:val="none"/>
          <w:shd w:val="clear" w:color="auto" w:fill="auto"/>
        </w:rPr>
        <w:t>选调</w:t>
      </w:r>
      <w:r>
        <w:rPr>
          <w:rFonts w:ascii="黑体" w:hAnsi="黑体" w:eastAsia="黑体" w:cs="黑体"/>
          <w:color w:val="auto"/>
          <w:sz w:val="28"/>
          <w:szCs w:val="28"/>
          <w:highlight w:val="none"/>
          <w:shd w:val="clear" w:color="auto" w:fill="auto"/>
        </w:rPr>
        <w:t>中要求的有效身份证件指的是什么？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有效身份证件包括有效期限内的居民身份证、社会保障卡&lt;含照片&gt;</w:t>
      </w:r>
      <w:r>
        <w:rPr>
          <w:rFonts w:hint="eastAsia" w:ascii="仿宋_GB2312" w:hAnsi="仿宋_GB2312" w:eastAsia="仿宋_GB2312" w:cs="仿宋_GB2312"/>
          <w:color w:val="auto"/>
          <w:sz w:val="28"/>
          <w:szCs w:val="28"/>
          <w:highlight w:val="none"/>
          <w:shd w:val="clear" w:color="auto" w:fill="auto"/>
        </w:rPr>
        <w:t>、</w:t>
      </w:r>
      <w:r>
        <w:rPr>
          <w:rFonts w:ascii="仿宋_GB2312" w:hAnsi="仿宋_GB2312" w:eastAsia="仿宋_GB2312" w:cs="仿宋_GB2312"/>
          <w:color w:val="auto"/>
          <w:sz w:val="28"/>
          <w:szCs w:val="28"/>
          <w:highlight w:val="none"/>
          <w:shd w:val="clear" w:color="auto" w:fill="auto"/>
        </w:rPr>
        <w:t>港澳居民来往内地通行证、</w:t>
      </w:r>
      <w:r>
        <w:rPr>
          <w:rFonts w:hint="eastAsia" w:ascii="仿宋_GB2312" w:hAnsi="仿宋_GB2312" w:eastAsia="仿宋_GB2312" w:cs="仿宋_GB2312"/>
          <w:color w:val="auto"/>
          <w:sz w:val="28"/>
          <w:szCs w:val="28"/>
          <w:highlight w:val="none"/>
          <w:shd w:val="clear" w:color="auto" w:fill="auto"/>
        </w:rPr>
        <w:t>中华人民共和国台湾居民居住证、</w:t>
      </w:r>
      <w:r>
        <w:rPr>
          <w:rFonts w:ascii="仿宋_GB2312" w:hAnsi="仿宋_GB2312" w:eastAsia="仿宋_GB2312" w:cs="仿宋_GB2312"/>
          <w:color w:val="auto"/>
          <w:sz w:val="28"/>
          <w:szCs w:val="28"/>
          <w:highlight w:val="none"/>
          <w:shd w:val="clear" w:color="auto" w:fill="auto"/>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六</w:t>
      </w:r>
      <w:r>
        <w:rPr>
          <w:rFonts w:ascii="黑体" w:hAnsi="黑体" w:eastAsia="黑体" w:cs="黑体"/>
          <w:color w:val="auto"/>
          <w:sz w:val="28"/>
          <w:szCs w:val="28"/>
          <w:highlight w:val="none"/>
          <w:shd w:val="clear" w:color="auto" w:fill="auto"/>
        </w:rPr>
        <w:t>、本次</w:t>
      </w:r>
      <w:r>
        <w:rPr>
          <w:rFonts w:hint="eastAsia" w:ascii="黑体" w:hAnsi="黑体" w:eastAsia="黑体" w:cs="黑体"/>
          <w:color w:val="auto"/>
          <w:sz w:val="28"/>
          <w:szCs w:val="28"/>
          <w:highlight w:val="none"/>
          <w:shd w:val="clear" w:color="auto" w:fill="auto"/>
        </w:rPr>
        <w:t>选调</w:t>
      </w:r>
      <w:r>
        <w:rPr>
          <w:rFonts w:ascii="黑体" w:hAnsi="黑体" w:eastAsia="黑体" w:cs="黑体"/>
          <w:color w:val="auto"/>
          <w:sz w:val="28"/>
          <w:szCs w:val="28"/>
          <w:highlight w:val="none"/>
          <w:shd w:val="clear" w:color="auto" w:fill="auto"/>
        </w:rPr>
        <w:t>中需提供哪些面试资格</w:t>
      </w:r>
      <w:r>
        <w:rPr>
          <w:rFonts w:hint="eastAsia" w:ascii="黑体" w:hAnsi="黑体" w:eastAsia="黑体" w:cs="黑体"/>
          <w:color w:val="auto"/>
          <w:sz w:val="28"/>
          <w:szCs w:val="28"/>
          <w:highlight w:val="none"/>
          <w:shd w:val="clear" w:color="auto" w:fill="auto"/>
        </w:rPr>
        <w:t>复</w:t>
      </w:r>
      <w:r>
        <w:rPr>
          <w:rFonts w:ascii="黑体" w:hAnsi="黑体" w:eastAsia="黑体" w:cs="黑体"/>
          <w:color w:val="auto"/>
          <w:sz w:val="28"/>
          <w:szCs w:val="28"/>
          <w:highlight w:val="none"/>
          <w:shd w:val="clear" w:color="auto" w:fill="auto"/>
        </w:rPr>
        <w:t>审材料？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1.《应聘资格审查表》3份（请在成都人事考试网自行打印并按要求张贴近期2寸免冠证件照片）；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2.身份证原件和复印件1份；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3.有效的学位证（有学位要求的，下同）、毕业证原件和复印件1份。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4.</w:t>
      </w:r>
      <w:r>
        <w:rPr>
          <w:rFonts w:hint="eastAsia" w:ascii="仿宋_GB2312" w:hAnsi="仿宋_GB2312" w:eastAsia="仿宋_GB2312" w:cs="仿宋_GB2312"/>
          <w:color w:val="auto"/>
          <w:sz w:val="28"/>
          <w:szCs w:val="28"/>
          <w:highlight w:val="none"/>
          <w:shd w:val="clear" w:color="auto" w:fill="auto"/>
        </w:rPr>
        <w:t>用人单位要求的</w:t>
      </w:r>
      <w:r>
        <w:rPr>
          <w:rFonts w:ascii="仿宋_GB2312" w:hAnsi="仿宋_GB2312" w:eastAsia="仿宋_GB2312" w:cs="仿宋_GB2312"/>
          <w:color w:val="auto"/>
          <w:sz w:val="28"/>
          <w:szCs w:val="28"/>
          <w:highlight w:val="none"/>
          <w:shd w:val="clear" w:color="auto" w:fill="auto"/>
        </w:rPr>
        <w:t>其他与报考资格相关的材料。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5.选调工作属于组织行为，需</w:t>
      </w:r>
      <w:r>
        <w:rPr>
          <w:rFonts w:ascii="仿宋_GB2312" w:hAnsi="仿宋_GB2312" w:eastAsia="仿宋_GB2312" w:cs="仿宋_GB2312"/>
          <w:color w:val="auto"/>
          <w:sz w:val="28"/>
          <w:szCs w:val="28"/>
          <w:highlight w:val="none"/>
          <w:shd w:val="clear" w:color="auto" w:fill="auto"/>
        </w:rPr>
        <w:t>提前征得</w:t>
      </w:r>
      <w:r>
        <w:rPr>
          <w:rFonts w:hint="eastAsia" w:ascii="仿宋_GB2312" w:hAnsi="仿宋_GB2312" w:eastAsia="仿宋_GB2312" w:cs="仿宋_GB2312"/>
          <w:color w:val="auto"/>
          <w:sz w:val="28"/>
          <w:szCs w:val="28"/>
          <w:highlight w:val="none"/>
          <w:shd w:val="clear" w:color="auto" w:fill="auto"/>
        </w:rPr>
        <w:t>有干部管理权限的主管部门或用人单位同意</w:t>
      </w:r>
      <w:r>
        <w:rPr>
          <w:rFonts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color w:val="auto"/>
          <w:sz w:val="28"/>
          <w:szCs w:val="28"/>
          <w:highlight w:val="none"/>
          <w:shd w:val="clear" w:color="auto" w:fill="auto"/>
        </w:rPr>
        <w:t>面试</w:t>
      </w:r>
      <w:r>
        <w:rPr>
          <w:rFonts w:hint="eastAsia" w:ascii="仿宋_GB2312" w:hAnsi="仿宋_GB2312" w:eastAsia="仿宋_GB2312" w:cs="仿宋_GB2312"/>
          <w:color w:val="auto"/>
          <w:sz w:val="28"/>
          <w:szCs w:val="28"/>
          <w:highlight w:val="none"/>
          <w:shd w:val="clear" w:color="auto" w:fill="auto"/>
        </w:rPr>
        <w:t>资格复审时提交，特殊情况下</w:t>
      </w:r>
      <w:r>
        <w:rPr>
          <w:rFonts w:ascii="仿宋_GB2312" w:hAnsi="仿宋_GB2312" w:eastAsia="仿宋_GB2312" w:cs="仿宋_GB2312"/>
          <w:color w:val="auto"/>
          <w:sz w:val="28"/>
          <w:szCs w:val="28"/>
          <w:highlight w:val="none"/>
          <w:shd w:val="clear" w:color="auto" w:fill="auto"/>
        </w:rPr>
        <w:t>经</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单位同意可</w:t>
      </w:r>
      <w:r>
        <w:rPr>
          <w:rFonts w:hint="eastAsia" w:ascii="仿宋_GB2312" w:hAnsi="仿宋_GB2312" w:eastAsia="仿宋_GB2312" w:cs="仿宋_GB2312"/>
          <w:color w:val="auto"/>
          <w:sz w:val="28"/>
          <w:szCs w:val="28"/>
          <w:highlight w:val="none"/>
          <w:shd w:val="clear" w:color="auto" w:fill="auto"/>
        </w:rPr>
        <w:t>不得晚于面试结束后5个工作日内提交。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6.</w:t>
      </w:r>
      <w:r>
        <w:rPr>
          <w:rFonts w:ascii="仿宋_GB2312" w:hAnsi="仿宋_GB2312" w:eastAsia="仿宋_GB2312" w:cs="仿宋_GB2312"/>
          <w:color w:val="auto"/>
          <w:sz w:val="28"/>
          <w:szCs w:val="28"/>
          <w:highlight w:val="none"/>
          <w:shd w:val="clear" w:color="auto" w:fill="auto"/>
        </w:rPr>
        <w:t>留学归国人员应持国家教育部留学服务中心认证学历、学位参加资格审查。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七</w:t>
      </w:r>
      <w:r>
        <w:rPr>
          <w:rFonts w:ascii="黑体" w:hAnsi="黑体" w:eastAsia="黑体" w:cs="黑体"/>
          <w:color w:val="auto"/>
          <w:sz w:val="28"/>
          <w:szCs w:val="28"/>
          <w:highlight w:val="none"/>
          <w:shd w:val="clear" w:color="auto" w:fill="auto"/>
        </w:rPr>
        <w:t>、违纪违规及存在不诚信情形的</w:t>
      </w:r>
      <w:r>
        <w:rPr>
          <w:rFonts w:hint="eastAsia" w:ascii="黑体" w:hAnsi="黑体" w:eastAsia="黑体" w:cs="黑体"/>
          <w:color w:val="auto"/>
          <w:sz w:val="28"/>
          <w:szCs w:val="28"/>
          <w:highlight w:val="none"/>
          <w:shd w:val="clear" w:color="auto" w:fill="auto"/>
        </w:rPr>
        <w:t>报考</w:t>
      </w:r>
      <w:r>
        <w:rPr>
          <w:rFonts w:ascii="黑体" w:hAnsi="黑体" w:eastAsia="黑体" w:cs="黑体"/>
          <w:color w:val="auto"/>
          <w:sz w:val="28"/>
          <w:szCs w:val="28"/>
          <w:highlight w:val="none"/>
          <w:shd w:val="clear" w:color="auto" w:fill="auto"/>
        </w:rPr>
        <w:t>人员如何处理？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报考</w:t>
      </w:r>
      <w:r>
        <w:rPr>
          <w:rFonts w:ascii="仿宋_GB2312" w:hAnsi="仿宋_GB2312" w:eastAsia="仿宋_GB2312" w:cs="仿宋_GB2312"/>
          <w:color w:val="auto"/>
          <w:sz w:val="28"/>
          <w:szCs w:val="28"/>
          <w:highlight w:val="none"/>
          <w:shd w:val="clear" w:color="auto" w:fill="auto"/>
        </w:rPr>
        <w:t>人员要严格遵守公开</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的相关政策规定，遵从事业单位人事综合管理部门、人事考试机构和</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单位或其主管部门的统一安排，其在</w:t>
      </w:r>
      <w:r>
        <w:rPr>
          <w:rFonts w:hint="eastAsia" w:ascii="仿宋_GB2312" w:hAnsi="仿宋_GB2312" w:eastAsia="仿宋_GB2312" w:cs="仿宋_GB2312"/>
          <w:color w:val="auto"/>
          <w:sz w:val="28"/>
          <w:szCs w:val="28"/>
          <w:highlight w:val="none"/>
          <w:shd w:val="clear" w:color="auto" w:fill="auto"/>
        </w:rPr>
        <w:t>参加选调</w:t>
      </w:r>
      <w:r>
        <w:rPr>
          <w:rFonts w:ascii="仿宋_GB2312" w:hAnsi="仿宋_GB2312" w:eastAsia="仿宋_GB2312" w:cs="仿宋_GB2312"/>
          <w:color w:val="auto"/>
          <w:sz w:val="28"/>
          <w:szCs w:val="28"/>
          <w:highlight w:val="none"/>
          <w:shd w:val="clear" w:color="auto" w:fill="auto"/>
        </w:rPr>
        <w:t>期间的表现，将作为公开</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考察的重要内容之一。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r>
        <w:rPr>
          <w:rFonts w:ascii="仿宋_GB2312" w:hAnsi="仿宋_GB2312" w:eastAsia="仿宋_GB2312" w:cs="仿宋_GB2312"/>
          <w:color w:val="auto"/>
          <w:sz w:val="28"/>
          <w:szCs w:val="28"/>
          <w:highlight w:val="none"/>
          <w:shd w:val="clear" w:color="auto" w:fill="auto"/>
        </w:rPr>
        <w:t>对违反公开</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纪律的</w:t>
      </w:r>
      <w:r>
        <w:rPr>
          <w:rFonts w:hint="eastAsia" w:ascii="仿宋_GB2312" w:hAnsi="仿宋_GB2312" w:eastAsia="仿宋_GB2312" w:cs="仿宋_GB2312"/>
          <w:color w:val="auto"/>
          <w:sz w:val="28"/>
          <w:szCs w:val="28"/>
          <w:highlight w:val="none"/>
          <w:shd w:val="clear" w:color="auto" w:fill="auto"/>
        </w:rPr>
        <w:t>报考</w:t>
      </w:r>
      <w:r>
        <w:rPr>
          <w:rFonts w:ascii="仿宋_GB2312" w:hAnsi="仿宋_GB2312" w:eastAsia="仿宋_GB2312" w:cs="仿宋_GB2312"/>
          <w:color w:val="auto"/>
          <w:sz w:val="28"/>
          <w:szCs w:val="28"/>
          <w:highlight w:val="none"/>
          <w:shd w:val="clear" w:color="auto" w:fill="auto"/>
        </w:rPr>
        <w:t>人员，</w:t>
      </w:r>
      <w:r>
        <w:rPr>
          <w:rFonts w:hint="eastAsia" w:ascii="仿宋_GB2312" w:hAnsi="仿宋_GB2312" w:eastAsia="仿宋_GB2312" w:cs="仿宋_GB2312"/>
          <w:color w:val="auto"/>
          <w:sz w:val="28"/>
          <w:szCs w:val="28"/>
          <w:highlight w:val="none"/>
          <w:shd w:val="clear" w:color="auto" w:fill="auto"/>
        </w:rPr>
        <w:t>由主管部门将违纪情况反馈原工作单位</w:t>
      </w:r>
      <w:r>
        <w:rPr>
          <w:rFonts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八、其他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方正仿宋_GB2312"/>
          <w:snapToGrid w:val="0"/>
          <w:color w:val="auto"/>
          <w:kern w:val="0"/>
          <w:sz w:val="32"/>
          <w:szCs w:val="32"/>
          <w:highlight w:val="none"/>
          <w:shd w:val="clear" w:color="auto" w:fill="auto"/>
        </w:rPr>
      </w:pPr>
      <w:r>
        <w:rPr>
          <w:rFonts w:ascii="仿宋_GB2312" w:hAnsi="仿宋_GB2312" w:eastAsia="仿宋_GB2312" w:cs="仿宋_GB2312"/>
          <w:color w:val="auto"/>
          <w:sz w:val="28"/>
          <w:szCs w:val="28"/>
          <w:highlight w:val="none"/>
          <w:shd w:val="clear" w:color="auto" w:fill="auto"/>
        </w:rPr>
        <w:t>本</w:t>
      </w:r>
      <w:r>
        <w:rPr>
          <w:rFonts w:hint="eastAsia" w:ascii="仿宋_GB2312" w:hAnsi="仿宋_GB2312" w:eastAsia="仿宋_GB2312" w:cs="仿宋_GB2312"/>
          <w:color w:val="auto"/>
          <w:sz w:val="28"/>
          <w:szCs w:val="28"/>
          <w:highlight w:val="none"/>
          <w:shd w:val="clear" w:color="auto" w:fill="auto"/>
        </w:rPr>
        <w:t>次选调</w:t>
      </w:r>
      <w:r>
        <w:rPr>
          <w:rFonts w:ascii="仿宋_GB2312" w:hAnsi="仿宋_GB2312" w:eastAsia="仿宋_GB2312" w:cs="仿宋_GB2312"/>
          <w:color w:val="auto"/>
          <w:sz w:val="28"/>
          <w:szCs w:val="28"/>
          <w:highlight w:val="none"/>
          <w:shd w:val="clear" w:color="auto" w:fill="auto"/>
        </w:rPr>
        <w:t>公告</w:t>
      </w:r>
      <w:r>
        <w:rPr>
          <w:rFonts w:hint="eastAsia" w:ascii="仿宋_GB2312" w:hAnsi="仿宋_GB2312" w:eastAsia="仿宋_GB2312" w:cs="仿宋_GB2312"/>
          <w:color w:val="auto"/>
          <w:sz w:val="28"/>
          <w:szCs w:val="28"/>
          <w:highlight w:val="none"/>
          <w:shd w:val="clear" w:color="auto" w:fill="auto"/>
        </w:rPr>
        <w:t>中</w:t>
      </w:r>
      <w:r>
        <w:rPr>
          <w:rFonts w:ascii="仿宋_GB2312" w:hAnsi="仿宋_GB2312" w:eastAsia="仿宋_GB2312" w:cs="仿宋_GB2312"/>
          <w:color w:val="auto"/>
          <w:sz w:val="28"/>
          <w:szCs w:val="28"/>
          <w:highlight w:val="none"/>
          <w:shd w:val="clear" w:color="auto" w:fill="auto"/>
        </w:rPr>
        <w:t>所指“以上”“以下”“以前”“以后”均包含本级（数），以此类推</w:t>
      </w:r>
      <w:r>
        <w:rPr>
          <w:rFonts w:hint="eastAsia" w:ascii="仿宋_GB2312" w:hAnsi="仿宋_GB2312" w:eastAsia="仿宋_GB2312" w:cs="仿宋_GB2312"/>
          <w:color w:val="auto"/>
          <w:sz w:val="28"/>
          <w:szCs w:val="28"/>
          <w:highlight w:val="none"/>
          <w:shd w:val="clear" w:color="auto" w:fill="auto"/>
        </w:rPr>
        <w:t>；选调</w:t>
      </w:r>
      <w:r>
        <w:rPr>
          <w:rFonts w:ascii="仿宋_GB2312" w:hAnsi="仿宋_GB2312" w:eastAsia="仿宋_GB2312" w:cs="仿宋_GB2312"/>
          <w:color w:val="auto"/>
          <w:sz w:val="28"/>
          <w:szCs w:val="28"/>
          <w:highlight w:val="none"/>
          <w:shd w:val="clear" w:color="auto" w:fill="auto"/>
        </w:rPr>
        <w:t>公告</w:t>
      </w:r>
      <w:r>
        <w:rPr>
          <w:rFonts w:hint="eastAsia" w:ascii="仿宋_GB2312" w:hAnsi="仿宋_GB2312" w:eastAsia="仿宋_GB2312" w:cs="仿宋_GB2312"/>
          <w:color w:val="auto"/>
          <w:sz w:val="28"/>
          <w:szCs w:val="28"/>
          <w:highlight w:val="none"/>
          <w:shd w:val="clear" w:color="auto" w:fill="auto"/>
        </w:rPr>
        <w:t>中</w:t>
      </w:r>
      <w:r>
        <w:rPr>
          <w:rFonts w:ascii="仿宋_GB2312" w:hAnsi="仿宋_GB2312" w:eastAsia="仿宋_GB2312" w:cs="仿宋_GB2312"/>
          <w:color w:val="auto"/>
          <w:sz w:val="28"/>
          <w:szCs w:val="28"/>
          <w:highlight w:val="none"/>
          <w:shd w:val="clear" w:color="auto" w:fill="auto"/>
        </w:rPr>
        <w:t>涉及的时间节点，除</w:t>
      </w:r>
      <w:r>
        <w:rPr>
          <w:rFonts w:hint="eastAsia" w:ascii="仿宋_GB2312" w:hAnsi="仿宋_GB2312" w:eastAsia="仿宋_GB2312" w:cs="仿宋_GB2312"/>
          <w:color w:val="auto"/>
          <w:sz w:val="28"/>
          <w:szCs w:val="28"/>
          <w:highlight w:val="none"/>
          <w:shd w:val="clear" w:color="auto" w:fill="auto"/>
        </w:rPr>
        <w:t>公告中有明确</w:t>
      </w:r>
      <w:r>
        <w:rPr>
          <w:rFonts w:ascii="仿宋_GB2312" w:hAnsi="仿宋_GB2312" w:eastAsia="仿宋_GB2312" w:cs="仿宋_GB2312"/>
          <w:color w:val="auto"/>
          <w:sz w:val="28"/>
          <w:szCs w:val="28"/>
          <w:highlight w:val="none"/>
          <w:shd w:val="clear" w:color="auto" w:fill="auto"/>
        </w:rPr>
        <w:t>规定外，均以公告</w:t>
      </w:r>
      <w:r>
        <w:rPr>
          <w:rFonts w:hint="eastAsia" w:ascii="仿宋_GB2312" w:hAnsi="仿宋_GB2312" w:eastAsia="仿宋_GB2312" w:cs="仿宋_GB2312"/>
          <w:color w:val="auto"/>
          <w:sz w:val="28"/>
          <w:szCs w:val="28"/>
          <w:highlight w:val="none"/>
          <w:shd w:val="clear" w:color="auto" w:fill="auto"/>
        </w:rPr>
        <w:t>报名最后一天为截止时间</w:t>
      </w:r>
      <w:r>
        <w:rPr>
          <w:rFonts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shd w:val="clear" w:color="auto" w:fill="auto"/>
        </w:rPr>
      </w:pP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6338E"/>
    <w:rsid w:val="0E0633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2026-05-21T07:37:00Z</dcterms:created>
  <dc:creator>胡宗祥</dc:creator>
  <cp:lastModifiedBy>胡宗祥</cp:lastModifiedBy>
  <dcterms:modified xsi:type="dcterms:W3CDTF">2026-05-21T07:37:47Z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