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A0DC">
      <w:pPr>
        <w:overflowPunct w:val="0"/>
        <w:topLinePunct/>
        <w:spacing w:line="520" w:lineRule="exact"/>
        <w:rPr>
          <w:rFonts w:ascii="Times New Roman" w:hAnsi="Times New Roman" w:eastAsia="黑体" w:cs="黑体"/>
          <w:spacing w:val="-6"/>
          <w:sz w:val="28"/>
          <w:szCs w:val="28"/>
        </w:rPr>
      </w:pPr>
      <w:r>
        <w:rPr>
          <w:rFonts w:hint="eastAsia" w:ascii="Times New Roman" w:hAnsi="Times New Roman" w:eastAsia="黑体" w:cs="黑体"/>
          <w:spacing w:val="-6"/>
          <w:sz w:val="28"/>
          <w:szCs w:val="28"/>
        </w:rPr>
        <w:t>附件1</w:t>
      </w:r>
    </w:p>
    <w:p w14:paraId="30E48137">
      <w:pPr>
        <w:overflowPunct w:val="0"/>
        <w:topLinePunct/>
        <w:spacing w:line="520" w:lineRule="exact"/>
        <w:rPr>
          <w:rFonts w:hint="eastAsia" w:ascii="Times New Roman" w:hAnsi="Times New Roman" w:eastAsia="黑体" w:cs="黑体"/>
          <w:spacing w:val="-6"/>
          <w:sz w:val="28"/>
          <w:szCs w:val="28"/>
        </w:rPr>
      </w:pPr>
    </w:p>
    <w:p w14:paraId="1AEB5FE7">
      <w:pPr>
        <w:overflowPunct w:val="0"/>
        <w:topLinePunct/>
        <w:spacing w:line="520" w:lineRule="exact"/>
        <w:jc w:val="center"/>
        <w:rPr>
          <w:rFonts w:hint="eastAsia" w:ascii="Times New Roman" w:hAnsi="Times New Roman" w:eastAsia="方正小标宋简体" w:cs="方正小标宋简体"/>
          <w:bCs/>
          <w:sz w:val="44"/>
          <w:szCs w:val="32"/>
        </w:rPr>
      </w:pPr>
      <w:r>
        <w:rPr>
          <w:rFonts w:hint="eastAsia" w:ascii="Times New Roman" w:hAnsi="Times New Roman" w:eastAsia="方正小标宋简体" w:cs="方正小标宋简体"/>
          <w:bCs/>
          <w:sz w:val="44"/>
          <w:szCs w:val="32"/>
        </w:rPr>
        <w:t>选调单位基本情况</w:t>
      </w:r>
    </w:p>
    <w:p w14:paraId="127365E6">
      <w:pPr>
        <w:overflowPunct w:val="0"/>
        <w:topLinePunct/>
        <w:spacing w:line="520" w:lineRule="exact"/>
        <w:jc w:val="center"/>
        <w:rPr>
          <w:rFonts w:hint="eastAsia" w:ascii="Times New Roman" w:hAnsi="Times New Roman" w:eastAsia="黑体" w:cs="宋体"/>
          <w:spacing w:val="-6"/>
          <w:sz w:val="36"/>
          <w:szCs w:val="36"/>
        </w:rPr>
      </w:pPr>
    </w:p>
    <w:tbl>
      <w:tblPr>
        <w:tblStyle w:val="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250"/>
        <w:gridCol w:w="1439"/>
        <w:gridCol w:w="3170"/>
        <w:gridCol w:w="7158"/>
      </w:tblGrid>
      <w:tr w14:paraId="1806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blHeader/>
          <w:jc w:val="center"/>
        </w:trPr>
        <w:tc>
          <w:tcPr>
            <w:tcW w:w="802" w:type="pct"/>
            <w:noWrap w:val="0"/>
            <w:vAlign w:val="center"/>
          </w:tcPr>
          <w:p w14:paraId="3E95F4E9">
            <w:pPr>
              <w:overflowPunct w:val="0"/>
              <w:topLinePunct/>
              <w:jc w:val="center"/>
              <w:rPr>
                <w:rFonts w:hint="eastAsia" w:ascii="黑体" w:hAnsi="黑体" w:eastAsia="黑体" w:cs="仿宋_GB2312"/>
                <w:bCs/>
                <w:sz w:val="22"/>
                <w:szCs w:val="21"/>
              </w:rPr>
            </w:pPr>
            <w:r>
              <w:rPr>
                <w:rFonts w:hint="eastAsia" w:ascii="黑体" w:hAnsi="黑体" w:eastAsia="黑体" w:cs="仿宋_GB2312"/>
                <w:bCs/>
                <w:sz w:val="22"/>
                <w:szCs w:val="21"/>
              </w:rPr>
              <w:t>单位名称</w:t>
            </w:r>
          </w:p>
        </w:tc>
        <w:tc>
          <w:tcPr>
            <w:tcW w:w="513" w:type="pct"/>
            <w:noWrap w:val="0"/>
            <w:vAlign w:val="center"/>
          </w:tcPr>
          <w:p w14:paraId="41FE7488">
            <w:pPr>
              <w:overflowPunct w:val="0"/>
              <w:topLinePunct/>
              <w:jc w:val="center"/>
              <w:rPr>
                <w:rFonts w:hint="eastAsia" w:ascii="黑体" w:hAnsi="黑体" w:eastAsia="黑体" w:cs="仿宋_GB2312"/>
                <w:bCs/>
                <w:sz w:val="22"/>
                <w:szCs w:val="21"/>
              </w:rPr>
            </w:pPr>
            <w:r>
              <w:rPr>
                <w:rFonts w:hint="eastAsia" w:ascii="黑体" w:hAnsi="黑体" w:eastAsia="黑体" w:cs="仿宋_GB2312"/>
                <w:bCs/>
                <w:sz w:val="22"/>
                <w:szCs w:val="21"/>
              </w:rPr>
              <w:t>单位类别</w:t>
            </w:r>
          </w:p>
        </w:tc>
        <w:tc>
          <w:tcPr>
            <w:tcW w:w="1130" w:type="pct"/>
            <w:noWrap w:val="0"/>
            <w:vAlign w:val="center"/>
          </w:tcPr>
          <w:p w14:paraId="4F848E4A">
            <w:pPr>
              <w:overflowPunct w:val="0"/>
              <w:topLinePunct/>
              <w:jc w:val="center"/>
              <w:rPr>
                <w:rFonts w:hint="eastAsia" w:ascii="黑体" w:hAnsi="黑体" w:eastAsia="黑体" w:cs="仿宋_GB2312"/>
                <w:bCs/>
                <w:sz w:val="22"/>
                <w:szCs w:val="21"/>
              </w:rPr>
            </w:pPr>
            <w:r>
              <w:rPr>
                <w:rFonts w:hint="eastAsia" w:ascii="黑体" w:hAnsi="黑体" w:eastAsia="黑体" w:cs="仿宋_GB2312"/>
                <w:bCs/>
                <w:sz w:val="22"/>
                <w:szCs w:val="21"/>
              </w:rPr>
              <w:t>单位地址</w:t>
            </w:r>
          </w:p>
        </w:tc>
        <w:tc>
          <w:tcPr>
            <w:tcW w:w="2552" w:type="pct"/>
            <w:noWrap w:val="0"/>
            <w:vAlign w:val="center"/>
          </w:tcPr>
          <w:p w14:paraId="5E797542">
            <w:pPr>
              <w:overflowPunct w:val="0"/>
              <w:topLinePunct/>
              <w:jc w:val="center"/>
              <w:rPr>
                <w:rFonts w:hint="eastAsia" w:ascii="黑体" w:hAnsi="黑体" w:eastAsia="黑体" w:cs="仿宋_GB2312"/>
                <w:bCs/>
                <w:sz w:val="22"/>
                <w:szCs w:val="21"/>
              </w:rPr>
            </w:pPr>
            <w:r>
              <w:rPr>
                <w:rFonts w:hint="eastAsia" w:ascii="黑体" w:hAnsi="黑体" w:eastAsia="黑体" w:cs="仿宋_GB2312"/>
                <w:bCs/>
                <w:sz w:val="22"/>
                <w:szCs w:val="21"/>
              </w:rPr>
              <w:t>主要职能</w:t>
            </w:r>
          </w:p>
        </w:tc>
      </w:tr>
      <w:tr w14:paraId="7D24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5C0A615B">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四川省生态环境科学研究院</w:t>
            </w:r>
          </w:p>
        </w:tc>
        <w:tc>
          <w:tcPr>
            <w:tcW w:w="513" w:type="pct"/>
            <w:noWrap w:val="0"/>
            <w:vAlign w:val="center"/>
          </w:tcPr>
          <w:p w14:paraId="6783DDDE">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公益二类</w:t>
            </w:r>
          </w:p>
          <w:p w14:paraId="715C93B8">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7939F554">
            <w:pPr>
              <w:overflowPunct w:val="0"/>
              <w:topLinePunct/>
              <w:spacing w:line="500" w:lineRule="exact"/>
              <w:jc w:val="center"/>
              <w:rPr>
                <w:rFonts w:ascii="Times New Roman" w:hAnsi="Times New Roman" w:eastAsia="仿宋_GB2312" w:cs="仿宋_GB2312"/>
                <w:sz w:val="22"/>
                <w:szCs w:val="21"/>
              </w:rPr>
            </w:pPr>
            <w:r>
              <w:rPr>
                <w:rFonts w:hint="eastAsia" w:ascii="Times New Roman" w:hAnsi="Times New Roman" w:eastAsia="仿宋_GB2312" w:cs="方正楷体简体"/>
                <w:sz w:val="22"/>
                <w:szCs w:val="21"/>
              </w:rPr>
              <w:t>成都市人民南路四段9号</w:t>
            </w:r>
          </w:p>
        </w:tc>
        <w:tc>
          <w:tcPr>
            <w:tcW w:w="2552" w:type="pct"/>
            <w:noWrap w:val="0"/>
            <w:vAlign w:val="center"/>
          </w:tcPr>
          <w:p w14:paraId="5B521DF1">
            <w:pPr>
              <w:overflowPunct w:val="0"/>
              <w:topLinePunct/>
              <w:spacing w:line="500" w:lineRule="exact"/>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主要负责研究评估生态环境质量、污染发展趋势、生态环境保护技术、政策、标准体系，编制生态环境保护规划，提供污染治理、生态恢复、水土保持等规划与设计及其他社会需求的环境科技服务。</w:t>
            </w:r>
          </w:p>
        </w:tc>
      </w:tr>
      <w:tr w14:paraId="049A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74E0AEB9">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四川省辐射环境管理监测中心站</w:t>
            </w:r>
          </w:p>
        </w:tc>
        <w:tc>
          <w:tcPr>
            <w:tcW w:w="513" w:type="pct"/>
            <w:noWrap w:val="0"/>
            <w:vAlign w:val="center"/>
          </w:tcPr>
          <w:p w14:paraId="0C078E6F">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4F52D02F">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6F370384">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成都市温江区花土路689号</w:t>
            </w:r>
          </w:p>
        </w:tc>
        <w:tc>
          <w:tcPr>
            <w:tcW w:w="2552" w:type="pct"/>
            <w:noWrap w:val="0"/>
            <w:vAlign w:val="center"/>
          </w:tcPr>
          <w:p w14:paraId="6A190DA9">
            <w:pPr>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负责全省辐射环境质量监测、监督性监测、核与辐射应急监测与处置、省城市放射性废物库运行管理、核与辐射安全领域的科研、科普等工作。</w:t>
            </w:r>
          </w:p>
        </w:tc>
      </w:tr>
      <w:tr w14:paraId="569E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027EDCD7">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四川省生态环境厅机关服务中心</w:t>
            </w:r>
          </w:p>
        </w:tc>
        <w:tc>
          <w:tcPr>
            <w:tcW w:w="513" w:type="pct"/>
            <w:noWrap w:val="0"/>
            <w:vAlign w:val="center"/>
          </w:tcPr>
          <w:p w14:paraId="297C5B68">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暂未分类</w:t>
            </w:r>
          </w:p>
          <w:p w14:paraId="04E80880">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05EBC956">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成都市科园南路88号</w:t>
            </w:r>
          </w:p>
        </w:tc>
        <w:tc>
          <w:tcPr>
            <w:tcW w:w="2552" w:type="pct"/>
            <w:noWrap w:val="0"/>
            <w:vAlign w:val="center"/>
          </w:tcPr>
          <w:p w14:paraId="6F80D3DC">
            <w:pPr>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lang w:bidi="ar"/>
              </w:rPr>
              <w:t>负责机关车辆、通讯、文印、消防、安全、环卫、房管等服务保障工作；承办厅有关会务和接待工作；承担机关委托的部分行政管理事务性工作和机关交其使用的固定资产的管理工作；负责厅交办的其他工作。</w:t>
            </w:r>
          </w:p>
        </w:tc>
      </w:tr>
      <w:tr w14:paraId="6ACF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36F30844">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四川省环境信息中心</w:t>
            </w:r>
          </w:p>
        </w:tc>
        <w:tc>
          <w:tcPr>
            <w:tcW w:w="513" w:type="pct"/>
            <w:noWrap w:val="0"/>
            <w:vAlign w:val="center"/>
          </w:tcPr>
          <w:p w14:paraId="237079AC">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456B13E7">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61818CDD">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成都市科园南路88号</w:t>
            </w:r>
          </w:p>
        </w:tc>
        <w:tc>
          <w:tcPr>
            <w:tcW w:w="2552" w:type="pct"/>
            <w:noWrap w:val="0"/>
            <w:vAlign w:val="center"/>
          </w:tcPr>
          <w:p w14:paraId="2A995F11">
            <w:pPr>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承担搜集、存储、加工和传输省环境质量、污染物排放和治理、自然保护、环境管理以及相关信息；培训环境信息管理人员和计算机管理、应用开发技术人员；为全省环境信息系统的建设和运行提供技术指导。</w:t>
            </w:r>
          </w:p>
        </w:tc>
      </w:tr>
      <w:tr w14:paraId="728D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4EC2C5C0">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四川省大气污染防治保障中心</w:t>
            </w:r>
          </w:p>
        </w:tc>
        <w:tc>
          <w:tcPr>
            <w:tcW w:w="513" w:type="pct"/>
            <w:noWrap w:val="0"/>
            <w:vAlign w:val="center"/>
          </w:tcPr>
          <w:p w14:paraId="77C8CB16">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5D01C70C">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0416CB5A">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成都市青羊区光华东三路88号</w:t>
            </w:r>
          </w:p>
        </w:tc>
        <w:tc>
          <w:tcPr>
            <w:tcW w:w="2552" w:type="pct"/>
            <w:noWrap w:val="0"/>
            <w:vAlign w:val="center"/>
          </w:tcPr>
          <w:p w14:paraId="5CF9C3F9">
            <w:pPr>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按照有关法律法规，承担新生产、销售和在用机动车及非道路移动机械环保达标技术核查和排放抽测工作，为重污染天气应急工作、区域联防联控等提供技术支撑。承担重点区域、重点领域和重点城市大气污染防治攻坚技术服务工作。承担重大会议、重要活动环境空气质量技术保障工作。承担机动车排放检验机构技术核查、比对试验、远程监控等服务保障工作。负责省级机动车排污监控、遥感监测、非道路移动机械监管系统等平台的运行保障。完成四川省生态环境厅交办的其他工作。</w:t>
            </w:r>
          </w:p>
        </w:tc>
      </w:tr>
      <w:tr w14:paraId="649D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08AF4DD5">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四川省环境政策研究与规划院</w:t>
            </w:r>
          </w:p>
        </w:tc>
        <w:tc>
          <w:tcPr>
            <w:tcW w:w="513" w:type="pct"/>
            <w:noWrap w:val="0"/>
            <w:vAlign w:val="center"/>
          </w:tcPr>
          <w:p w14:paraId="1A449AB9">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公益二类</w:t>
            </w:r>
          </w:p>
          <w:p w14:paraId="5492BCE7">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40D180A9">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成都市高新区科园南路1号海特国际广场2号楼402</w:t>
            </w:r>
          </w:p>
        </w:tc>
        <w:tc>
          <w:tcPr>
            <w:tcW w:w="2552" w:type="pct"/>
            <w:noWrap w:val="0"/>
            <w:vAlign w:val="center"/>
          </w:tcPr>
          <w:p w14:paraId="15AABDAD">
            <w:pPr>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承担环境政策、环境功能规划、水功能区划，排污口设置，节能和应对气候变化，农村环境保护等方面的研究和技术支持工作。</w:t>
            </w:r>
          </w:p>
        </w:tc>
      </w:tr>
      <w:tr w14:paraId="294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1F8F9F47">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四川省攀枝花生态环境监测中心站</w:t>
            </w:r>
          </w:p>
        </w:tc>
        <w:tc>
          <w:tcPr>
            <w:tcW w:w="513" w:type="pct"/>
            <w:noWrap w:val="0"/>
            <w:vAlign w:val="center"/>
          </w:tcPr>
          <w:p w14:paraId="52AB7849">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6B7B1782">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766EE660">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攀枝花市东区三线大道北段101号</w:t>
            </w:r>
          </w:p>
        </w:tc>
        <w:tc>
          <w:tcPr>
            <w:tcW w:w="2552" w:type="pct"/>
            <w:noWrap w:val="0"/>
            <w:vAlign w:val="center"/>
          </w:tcPr>
          <w:p w14:paraId="219435F6">
            <w:pPr>
              <w:tabs>
                <w:tab w:val="left" w:pos="587"/>
              </w:tabs>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负责辖区内生态环境质量监测工作；承担辖区内突发环境事件应急监测；受市（州）生态环境局委托做好执法监测、生态环境科研、规划、评估等相关工作；受辖区内政府及其部门、有关企事业单位委托，为辖区环境管理提供技术支撑；承担辖区内县级生态环境监测机构的业务技术指导，为辖区内生态环境监测的质量管理提供技术支撑；接受省生态环境监测总站业务技术指导和其他工作安排；完成生态环境厅交办的其他工作任务。</w:t>
            </w:r>
          </w:p>
        </w:tc>
      </w:tr>
      <w:tr w14:paraId="4D0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2F30FB3B">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四川省泸州生态环境监测中心站</w:t>
            </w:r>
          </w:p>
        </w:tc>
        <w:tc>
          <w:tcPr>
            <w:tcW w:w="513" w:type="pct"/>
            <w:noWrap w:val="0"/>
            <w:vAlign w:val="center"/>
          </w:tcPr>
          <w:p w14:paraId="3BF00C22">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49B12713">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57916228">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泸州市江阳区忠山路四段23号</w:t>
            </w:r>
          </w:p>
        </w:tc>
        <w:tc>
          <w:tcPr>
            <w:tcW w:w="2552" w:type="pct"/>
            <w:vMerge w:val="restart"/>
            <w:noWrap w:val="0"/>
            <w:vAlign w:val="center"/>
          </w:tcPr>
          <w:p w14:paraId="79294AF1">
            <w:pPr>
              <w:overflowPunct w:val="0"/>
              <w:topLinePunct/>
              <w:spacing w:line="500" w:lineRule="exact"/>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负责辖区内生态环境质量监测工作；承担辖区内突发环境事件应急监测；受市（州）生态环境局委托做好执法监测、生态环境科研、规划、评估等相关工作；受辖区内政府及其部门、有关企事业单位委托，为辖区环境管理提供技术支撑；承担辖区内县级生态环境监测机构的业务技术指导，为辖区内生态环境监测的质量管理提供技术支撑；接受省生态环境监测总站业务技术指导和其他工作安排；完成生态环境厅交办的其他工作任务。</w:t>
            </w:r>
          </w:p>
        </w:tc>
      </w:tr>
      <w:tr w14:paraId="2413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3B4250FB">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四川省绵阳生态环境监测中心站</w:t>
            </w:r>
          </w:p>
        </w:tc>
        <w:tc>
          <w:tcPr>
            <w:tcW w:w="513" w:type="pct"/>
            <w:noWrap w:val="0"/>
            <w:vAlign w:val="center"/>
          </w:tcPr>
          <w:p w14:paraId="4BD99BB8">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0725B2CD">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762A123F">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绵阳市科技城新区玉泉中路10-1号</w:t>
            </w:r>
          </w:p>
        </w:tc>
        <w:tc>
          <w:tcPr>
            <w:tcW w:w="2552" w:type="pct"/>
            <w:vMerge w:val="continue"/>
            <w:noWrap w:val="0"/>
            <w:vAlign w:val="center"/>
          </w:tcPr>
          <w:p w14:paraId="61413E1A">
            <w:pPr>
              <w:overflowPunct w:val="0"/>
              <w:topLinePunct/>
              <w:spacing w:line="500" w:lineRule="exact"/>
              <w:rPr>
                <w:rFonts w:hint="eastAsia" w:ascii="Times New Roman" w:hAnsi="Times New Roman" w:eastAsia="仿宋_GB2312" w:cs="方正楷体简体"/>
                <w:sz w:val="22"/>
                <w:szCs w:val="21"/>
              </w:rPr>
            </w:pPr>
          </w:p>
        </w:tc>
      </w:tr>
      <w:tr w14:paraId="704A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5E52BE1F">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四川省达州生态环境监测中心站</w:t>
            </w:r>
          </w:p>
        </w:tc>
        <w:tc>
          <w:tcPr>
            <w:tcW w:w="513" w:type="pct"/>
            <w:noWrap w:val="0"/>
            <w:vAlign w:val="center"/>
          </w:tcPr>
          <w:p w14:paraId="56B71F66">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68199BAF">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0E48BF27">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达州市通川区健民路186号</w:t>
            </w:r>
          </w:p>
        </w:tc>
        <w:tc>
          <w:tcPr>
            <w:tcW w:w="2552" w:type="pct"/>
            <w:vMerge w:val="continue"/>
            <w:noWrap w:val="0"/>
            <w:vAlign w:val="center"/>
          </w:tcPr>
          <w:p w14:paraId="1FB2516E">
            <w:pPr>
              <w:overflowPunct w:val="0"/>
              <w:topLinePunct/>
              <w:spacing w:line="500" w:lineRule="exact"/>
              <w:rPr>
                <w:rFonts w:hint="eastAsia" w:ascii="Times New Roman" w:hAnsi="Times New Roman" w:eastAsia="仿宋_GB2312" w:cs="方正楷体简体"/>
                <w:sz w:val="22"/>
                <w:szCs w:val="21"/>
              </w:rPr>
            </w:pPr>
          </w:p>
        </w:tc>
      </w:tr>
      <w:tr w14:paraId="26B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47A99752">
            <w:pPr>
              <w:overflowPunct w:val="0"/>
              <w:topLinePunct/>
              <w:spacing w:line="28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四川省阿坝生态环境监测中心站</w:t>
            </w:r>
          </w:p>
        </w:tc>
        <w:tc>
          <w:tcPr>
            <w:tcW w:w="513" w:type="pct"/>
            <w:noWrap w:val="0"/>
            <w:vAlign w:val="center"/>
          </w:tcPr>
          <w:p w14:paraId="23113651">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232BE349">
            <w:pPr>
              <w:overflowPunct w:val="0"/>
              <w:topLinePunct/>
              <w:spacing w:line="500" w:lineRule="exact"/>
              <w:jc w:val="center"/>
              <w:rPr>
                <w:rFonts w:hint="eastAsia" w:ascii="Times New Roman" w:hAnsi="Times New Roman" w:eastAsia="仿宋_GB2312" w:cs="仿宋_GB2312"/>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1DF202A1">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阿坝州马尔康市马尔康镇美谷街279-2号</w:t>
            </w:r>
          </w:p>
        </w:tc>
        <w:tc>
          <w:tcPr>
            <w:tcW w:w="2552" w:type="pct"/>
            <w:vMerge w:val="continue"/>
            <w:noWrap w:val="0"/>
            <w:vAlign w:val="center"/>
          </w:tcPr>
          <w:p w14:paraId="30A0530E">
            <w:pPr>
              <w:overflowPunct w:val="0"/>
              <w:topLinePunct/>
              <w:spacing w:line="500" w:lineRule="exact"/>
              <w:rPr>
                <w:rFonts w:hint="eastAsia" w:ascii="Times New Roman" w:hAnsi="Times New Roman" w:eastAsia="仿宋_GB2312" w:cs="方正楷体简体"/>
                <w:sz w:val="22"/>
                <w:szCs w:val="21"/>
              </w:rPr>
            </w:pPr>
          </w:p>
        </w:tc>
      </w:tr>
      <w:tr w14:paraId="5C68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802" w:type="pct"/>
            <w:noWrap w:val="0"/>
            <w:vAlign w:val="center"/>
          </w:tcPr>
          <w:p w14:paraId="5B9AA18A">
            <w:pPr>
              <w:overflowPunct w:val="0"/>
              <w:topLinePunct/>
              <w:spacing w:line="28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四川省凉山生态环境监测中心站</w:t>
            </w:r>
          </w:p>
        </w:tc>
        <w:tc>
          <w:tcPr>
            <w:tcW w:w="513" w:type="pct"/>
            <w:noWrap w:val="0"/>
            <w:vAlign w:val="center"/>
          </w:tcPr>
          <w:p w14:paraId="621A1D0E">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公益一类</w:t>
            </w:r>
          </w:p>
          <w:p w14:paraId="268BC92B">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事业单位</w:t>
            </w:r>
          </w:p>
        </w:tc>
        <w:tc>
          <w:tcPr>
            <w:tcW w:w="1130" w:type="pct"/>
            <w:noWrap w:val="0"/>
            <w:vAlign w:val="center"/>
          </w:tcPr>
          <w:p w14:paraId="5711C5C1">
            <w:pPr>
              <w:overflowPunct w:val="0"/>
              <w:topLinePunct/>
              <w:spacing w:line="500" w:lineRule="exact"/>
              <w:jc w:val="center"/>
              <w:rPr>
                <w:rFonts w:hint="eastAsia" w:ascii="Times New Roman" w:hAnsi="Times New Roman" w:eastAsia="仿宋_GB2312" w:cs="方正楷体简体"/>
                <w:sz w:val="22"/>
                <w:szCs w:val="21"/>
              </w:rPr>
            </w:pPr>
            <w:r>
              <w:rPr>
                <w:rFonts w:hint="eastAsia" w:ascii="Times New Roman" w:hAnsi="Times New Roman" w:eastAsia="仿宋_GB2312" w:cs="方正楷体简体"/>
                <w:sz w:val="22"/>
                <w:szCs w:val="21"/>
              </w:rPr>
              <w:t>凉山州西昌市土城巷21号</w:t>
            </w:r>
          </w:p>
        </w:tc>
        <w:tc>
          <w:tcPr>
            <w:tcW w:w="2552" w:type="pct"/>
            <w:vMerge w:val="continue"/>
            <w:noWrap w:val="0"/>
            <w:vAlign w:val="center"/>
          </w:tcPr>
          <w:p w14:paraId="2F4D8751">
            <w:pPr>
              <w:overflowPunct w:val="0"/>
              <w:topLinePunct/>
              <w:spacing w:line="500" w:lineRule="exact"/>
              <w:rPr>
                <w:rFonts w:hint="eastAsia" w:ascii="Times New Roman" w:hAnsi="Times New Roman" w:eastAsia="仿宋_GB2312" w:cs="方正楷体简体"/>
                <w:sz w:val="22"/>
                <w:szCs w:val="21"/>
              </w:rPr>
            </w:pPr>
          </w:p>
        </w:tc>
      </w:tr>
    </w:tbl>
    <w:p w14:paraId="202B5DEA">
      <w:pPr>
        <w:overflowPunct w:val="0"/>
        <w:topLinePunct/>
        <w:spacing w:line="520" w:lineRule="exact"/>
        <w:jc w:val="center"/>
        <w:rPr>
          <w:rFonts w:hint="eastAsia" w:ascii="Times New Roman" w:hAnsi="Times New Roman" w:eastAsia="黑体" w:cs="宋体"/>
          <w:spacing w:val="-6"/>
          <w:sz w:val="36"/>
          <w:szCs w:val="36"/>
        </w:rPr>
      </w:pPr>
    </w:p>
    <w:p w14:paraId="0173AA10">
      <w:pPr>
        <w:overflowPunct w:val="0"/>
        <w:topLinePunct/>
        <w:spacing w:line="520" w:lineRule="exact"/>
        <w:jc w:val="center"/>
        <w:rPr>
          <w:rFonts w:hint="eastAsia" w:ascii="Times New Roman" w:hAnsi="Times New Roman" w:eastAsia="黑体" w:cs="宋体"/>
          <w:spacing w:val="-6"/>
          <w:sz w:val="36"/>
          <w:szCs w:val="36"/>
        </w:rPr>
      </w:pPr>
    </w:p>
    <w:p w14:paraId="45020B2C">
      <w:pPr>
        <w:overflowPunct w:val="0"/>
        <w:topLinePunct/>
        <w:spacing w:line="520" w:lineRule="exact"/>
        <w:jc w:val="center"/>
        <w:rPr>
          <w:rFonts w:hint="eastAsia" w:ascii="Times New Roman" w:hAnsi="Times New Roman" w:eastAsia="黑体" w:cs="宋体"/>
          <w:spacing w:val="-6"/>
          <w:sz w:val="36"/>
          <w:szCs w:val="36"/>
        </w:rPr>
      </w:pPr>
    </w:p>
    <w:p w14:paraId="663693B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754C8"/>
    <w:rsid w:val="6027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2026-05-21T10:24:00Z</dcterms:created>
  <dc:creator>魔法宅宅</dc:creator>
  <cp:lastModifiedBy>魔法宅宅</cp:lastModifiedBy>
  <dcterms:modified xsi:type="dcterms:W3CDTF">2026-05-21T10:24:22Z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A7792FF1C62D472E9C3FB703E8E94F6B_11</vt:lpwstr>
  </property>
  <property fmtid="{D5CDD505-2E9C-101B-9397-08002B2CF9AE}" pid="4" name="KSOTemplateDocerSaveRecord">
    <vt:lpwstr>eyJoZGlkIjoiMmUwYzgzZjYwOTQ5NGE4OTYyMzEyMTM0ZWNhMTY4N2IiLCJ1c2VySWQiOiIxMTI1NzY5NTU4In0=</vt:lpwstr>
  </property>
</Properties>
</file>