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09CA3">
      <w:pPr>
        <w:adjustRightInd w:val="0"/>
        <w:snapToGrid w:val="0"/>
        <w:spacing w:after="0" w:line="560" w:lineRule="atLeast"/>
        <w:ind w:left="0" w:firstLine="0"/>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中国水产科学研究院黄海水产研究所</w:t>
      </w:r>
    </w:p>
    <w:p w14:paraId="61884BD7">
      <w:pPr>
        <w:adjustRightInd w:val="0"/>
        <w:snapToGrid w:val="0"/>
        <w:spacing w:after="0" w:line="560" w:lineRule="atLeast"/>
        <w:ind w:left="0" w:firstLine="0"/>
        <w:jc w:val="center"/>
        <w:rPr>
          <w:rFonts w:hint="eastAsia" w:ascii="微软雅黑" w:hAnsi="微软雅黑" w:eastAsia="微软雅黑" w:cs="微软雅黑"/>
          <w:b/>
          <w:sz w:val="10"/>
          <w:szCs w:val="10"/>
        </w:rPr>
      </w:pPr>
      <w:r>
        <w:rPr>
          <w:rFonts w:hint="eastAsia" w:ascii="微软雅黑" w:hAnsi="微软雅黑" w:eastAsia="微软雅黑" w:cs="微软雅黑"/>
          <w:b/>
          <w:sz w:val="44"/>
          <w:szCs w:val="44"/>
        </w:rPr>
        <w:t>2026年度第二批统一公开招聘工作人员公告</w:t>
      </w:r>
    </w:p>
    <w:p w14:paraId="3E1670A2">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中国水产科学研究院黄海水产研究所（所网站www.ysfri.ac.cn）是国家综合性海洋渔业研究机构，前身为成立于1947年的“农林部中央水产实验所”。主要职责包括海洋渔业资源评估与养护研究、海洋渔业环境评价与生态修复研究、海洋生物遗传资源与养殖新品种培育研究、海水养殖、设施渔业与防疫技术研究、水产品加工与质量安全研究、渔业信息与发展战略研究，开展渔业科技成果转化与技术服务、国际合作与培训、渔业科技期刊出版等。现有包括全国重点实验室在内的国家级科研创新平台9个，省部级科研创新平台17个，国际科研平台3个；拥有目前国内设施设备最先进、吨位最大海洋渔业综合科学调查船“蓝海101”号（3000吨级），1000吨级海洋渔业资源与环境调查船“北斗”号、300吨级渔业资源与环境调查船“中渔科102”号和100吨级渔业资源与环境调查船“中渔科101”号等四艘渔业科考船；建有海洋渔业科学研究中心（琅琊基地）、水产遗传育种中心（即墨基地）、鲆鲽鱼类遗传育种中心（海阳基地）和水生动物防疫技术研发中心（鳌山基地）等四个科研基地。具体详见黄海水产研究所简介（附件1）。</w:t>
      </w:r>
    </w:p>
    <w:p w14:paraId="475A1CB3">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根据事业发展和人才队伍建设的需要，中国水产科学研究院黄海水产研究所2026年面向社会公开招聘事业编制工作人员，现将第二批有关招聘事宜公告如下。</w:t>
      </w:r>
    </w:p>
    <w:p w14:paraId="42116EA6">
      <w:pPr>
        <w:adjustRightInd w:val="0"/>
        <w:snapToGrid w:val="0"/>
        <w:spacing w:after="0" w:line="560" w:lineRule="atLeast"/>
        <w:ind w:left="0" w:firstLine="640" w:firstLineChars="200"/>
        <w:jc w:val="both"/>
        <w:rPr>
          <w:rFonts w:hint="eastAsia" w:ascii="微软雅黑" w:hAnsi="微软雅黑" w:eastAsia="微软雅黑" w:cs="微软雅黑"/>
          <w:szCs w:val="32"/>
        </w:rPr>
      </w:pPr>
    </w:p>
    <w:p w14:paraId="1DE72A62">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一、招聘岗位</w:t>
      </w:r>
    </w:p>
    <w:p w14:paraId="59E9D6A8">
      <w:pPr>
        <w:adjustRightInd w:val="0"/>
        <w:snapToGrid w:val="0"/>
        <w:spacing w:after="0" w:line="560" w:lineRule="atLeast"/>
        <w:ind w:left="0" w:firstLine="640" w:firstLineChars="200"/>
        <w:jc w:val="both"/>
        <w:rPr>
          <w:rFonts w:hint="eastAsia" w:ascii="微软雅黑" w:hAnsi="微软雅黑" w:eastAsia="微软雅黑" w:cs="微软雅黑"/>
          <w:color w:val="auto"/>
          <w:szCs w:val="32"/>
        </w:rPr>
      </w:pPr>
      <w:r>
        <w:rPr>
          <w:rFonts w:hint="eastAsia" w:ascii="微软雅黑" w:hAnsi="微软雅黑" w:eastAsia="微软雅黑" w:cs="微软雅黑"/>
          <w:color w:val="auto"/>
          <w:szCs w:val="32"/>
        </w:rPr>
        <w:t>详见《中国水产科学研究院黄海水产研究所2026年度第二批统一公开招聘岗位信息表》（附件2）。</w:t>
      </w:r>
    </w:p>
    <w:p w14:paraId="43DB3F5E">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二、招聘范围</w:t>
      </w:r>
    </w:p>
    <w:p w14:paraId="4C4AEC9A">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rPr>
      </w:pPr>
      <w:r>
        <w:rPr>
          <w:rFonts w:hint="eastAsia" w:ascii="微软雅黑" w:hAnsi="微软雅黑" w:eastAsia="微软雅黑" w:cs="微软雅黑"/>
          <w:b/>
          <w:szCs w:val="32"/>
        </w:rPr>
        <w:t>（一）应届生</w:t>
      </w:r>
    </w:p>
    <w:p w14:paraId="0C9521D3">
      <w:pPr>
        <w:adjustRightInd w:val="0"/>
        <w:snapToGrid w:val="0"/>
        <w:spacing w:after="0" w:line="560" w:lineRule="atLeast"/>
        <w:ind w:left="0" w:firstLine="640" w:firstLineChars="200"/>
        <w:jc w:val="both"/>
        <w:rPr>
          <w:rFonts w:hint="eastAsia" w:ascii="微软雅黑" w:hAnsi="微软雅黑" w:eastAsia="微软雅黑" w:cs="微软雅黑"/>
          <w:szCs w:val="32"/>
          <w:lang w:bidi="ar"/>
        </w:rPr>
      </w:pPr>
      <w:r>
        <w:rPr>
          <w:rFonts w:hint="eastAsia" w:ascii="微软雅黑" w:hAnsi="微软雅黑" w:eastAsia="微软雅黑" w:cs="微软雅黑"/>
          <w:szCs w:val="32"/>
          <w:lang w:bidi="ar"/>
        </w:rPr>
        <w:t>2026年国内高校应届毕业生（含两年择业期内未落实工作单位的高校毕业生，不含定向生、委培生），符合单位所在地落户政策，能如期毕业并取得与最高学历对应的学历学位证书。</w:t>
      </w:r>
    </w:p>
    <w:p w14:paraId="4016296B">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rPr>
      </w:pPr>
      <w:r>
        <w:rPr>
          <w:rFonts w:hint="eastAsia" w:ascii="微软雅黑" w:hAnsi="微软雅黑" w:eastAsia="微软雅黑" w:cs="微软雅黑"/>
          <w:b/>
          <w:szCs w:val="32"/>
        </w:rPr>
        <w:t>（二）社会招聘</w:t>
      </w:r>
    </w:p>
    <w:p w14:paraId="324C8845">
      <w:pPr>
        <w:adjustRightInd w:val="0"/>
        <w:snapToGrid w:val="0"/>
        <w:spacing w:after="0" w:line="560" w:lineRule="atLeast"/>
        <w:ind w:left="0" w:firstLine="640" w:firstLineChars="200"/>
        <w:jc w:val="both"/>
        <w:rPr>
          <w:rFonts w:hint="eastAsia" w:ascii="微软雅黑" w:hAnsi="微软雅黑" w:eastAsia="微软雅黑" w:cs="微软雅黑"/>
          <w:szCs w:val="32"/>
          <w:lang w:bidi="ar"/>
        </w:rPr>
      </w:pPr>
      <w:r>
        <w:rPr>
          <w:rFonts w:hint="eastAsia" w:ascii="微软雅黑" w:hAnsi="微软雅黑" w:eastAsia="微软雅黑" w:cs="微软雅黑"/>
          <w:szCs w:val="32"/>
          <w:lang w:bidi="ar"/>
        </w:rPr>
        <w:t>1.社会人员。</w:t>
      </w:r>
    </w:p>
    <w:p w14:paraId="0AF4DE19">
      <w:pPr>
        <w:adjustRightInd w:val="0"/>
        <w:snapToGrid w:val="0"/>
        <w:spacing w:after="0" w:line="560" w:lineRule="atLeast"/>
        <w:ind w:left="0" w:firstLine="640" w:firstLineChars="200"/>
        <w:jc w:val="both"/>
        <w:rPr>
          <w:rFonts w:hint="eastAsia" w:ascii="微软雅黑" w:hAnsi="微软雅黑" w:eastAsia="微软雅黑" w:cs="微软雅黑"/>
          <w:szCs w:val="32"/>
          <w:lang w:bidi="ar"/>
        </w:rPr>
      </w:pPr>
      <w:r>
        <w:rPr>
          <w:rFonts w:hint="eastAsia" w:ascii="微软雅黑" w:hAnsi="微软雅黑" w:eastAsia="微软雅黑" w:cs="微软雅黑"/>
          <w:szCs w:val="32"/>
          <w:lang w:bidi="ar"/>
        </w:rPr>
        <w:t>2.具有单位所在地户籍或符合单位所在地落户政策且尚未办理就业（派遣）手续的国（境）外留学回国人员和博士后出站人员。留学回国人员须提供能够认定本人留学人员身份和经历的相关证明材料，回国时间不超过两年，具体条件须满足教育部留学服务中心申请落户有关政策要求。目前仍在读的留学人员和在站工作的博士后人员，可以参照上述人员报名，但应于当年12月底前提交符合办理接收手续条件的相关材料，否则招聘单位可取消聘用资格。</w:t>
      </w:r>
    </w:p>
    <w:p w14:paraId="59C90DD8">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三、报名条件</w:t>
      </w:r>
    </w:p>
    <w:p w14:paraId="75B8E38E">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（一）具有中华人民共和国国籍；</w:t>
      </w:r>
    </w:p>
    <w:p w14:paraId="2B85F89B">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二）政治立场坚定，拥护中国共产党的领导和社会主义制度，深刻领悟“两个确立”的决定性意义，增强“四个意识”，坚定“四个自信”，做到“两个维护”，在思想上政治上行动上同以习近平同志为核心的党中央保持高度一致；</w:t>
      </w:r>
    </w:p>
    <w:p w14:paraId="036F594B">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（三）思想品德好，遵纪守法，爱岗敬业，具有良好的协作精神；</w:t>
      </w:r>
    </w:p>
    <w:p w14:paraId="48EF0CAE">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（四）关心“三农”，有志于现代农业和乡村振兴事业，具有良好的奉献精神；</w:t>
      </w:r>
    </w:p>
    <w:p w14:paraId="665ACC4F">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（五）工作态度积极，事业心、责任感强，具有良好的开拓创新精神；</w:t>
      </w:r>
    </w:p>
    <w:p w14:paraId="3C37C23F">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（六）学习成绩优良，具有良好的计算机应用能力和外语水平；</w:t>
      </w:r>
    </w:p>
    <w:p w14:paraId="57F643D3">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（七）身体健康，吃苦耐劳，具备履行岗位职责的身体素质和心理素质；</w:t>
      </w:r>
    </w:p>
    <w:p w14:paraId="0BDDF452">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lang w:bidi="ar"/>
        </w:rPr>
        <w:t>（八）具备招聘岗位所要求的相关条件。</w:t>
      </w:r>
    </w:p>
    <w:p w14:paraId="6F790C24">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有以下情形之一者不得报考：曾受过刑事处罚、党纪政务处分，被开除党籍、公职的人员，被依法列为失信联合惩戒对象，在国家法定考试、各级公务员及事业单位招考中被认定有舞弊等严重违反聘用纪律行为，还在禁考期的人员，不得报名。</w:t>
      </w:r>
    </w:p>
    <w:p w14:paraId="46B11BFA">
      <w:pPr>
        <w:adjustRightInd w:val="0"/>
        <w:snapToGrid w:val="0"/>
        <w:spacing w:after="0" w:line="560" w:lineRule="atLeast"/>
        <w:ind w:left="0" w:firstLine="640" w:firstLineChars="200"/>
        <w:jc w:val="both"/>
        <w:rPr>
          <w:rFonts w:hint="eastAsia" w:ascii="微软雅黑" w:hAnsi="微软雅黑" w:eastAsia="微软雅黑" w:cs="微软雅黑"/>
          <w:b/>
          <w:bCs/>
          <w:szCs w:val="32"/>
        </w:rPr>
      </w:pPr>
      <w:r>
        <w:rPr>
          <w:rFonts w:hint="eastAsia" w:ascii="微软雅黑" w:hAnsi="微软雅黑" w:eastAsia="微软雅黑" w:cs="微软雅黑"/>
          <w:b/>
          <w:bCs/>
          <w:szCs w:val="32"/>
          <w:lang w:bidi="ar"/>
        </w:rPr>
        <w:t>应聘人员不得报考聘用后即构成回避关系的招聘岗位。</w:t>
      </w:r>
    </w:p>
    <w:p w14:paraId="4BA181A0">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四、招聘程序</w:t>
      </w:r>
    </w:p>
    <w:p w14:paraId="0FFDC3C3">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rPr>
      </w:pPr>
      <w:r>
        <w:rPr>
          <w:rFonts w:hint="eastAsia" w:ascii="微软雅黑" w:hAnsi="微软雅黑" w:eastAsia="微软雅黑" w:cs="微软雅黑"/>
          <w:b/>
          <w:szCs w:val="32"/>
        </w:rPr>
        <w:t>（一</w:t>
      </w:r>
      <w:r>
        <w:rPr>
          <w:rFonts w:hint="eastAsia" w:ascii="微软雅黑" w:hAnsi="微软雅黑" w:eastAsia="微软雅黑" w:cs="微软雅黑"/>
          <w:b/>
          <w:szCs w:val="32"/>
        </w:rPr>
        <w:t>）</w:t>
      </w:r>
      <w:r>
        <w:rPr>
          <w:rFonts w:hint="eastAsia" w:ascii="微软雅黑" w:hAnsi="微软雅黑" w:eastAsia="微软雅黑" w:cs="微软雅黑"/>
          <w:b/>
          <w:szCs w:val="32"/>
        </w:rPr>
        <w:t>报名</w:t>
      </w:r>
    </w:p>
    <w:p w14:paraId="1EC1E2D9">
      <w:pPr>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kern w:val="0"/>
          <w:szCs w:val="32"/>
          <w:shd w:val="clear" w:color="auto" w:fill="FFFFFF"/>
          <w:lang w:bidi="ar"/>
        </w:rPr>
        <w:t>1.报名时间：自即日起至2026年5月7日，应聘人员请填写《中国水产科学研究院黄海水产研究所公开招聘工作人员简历》（附件3），可在黄海水产研究所官网“招聘与培养”栏目下载。</w:t>
      </w:r>
    </w:p>
    <w:p w14:paraId="59456005">
      <w:pPr>
        <w:shd w:val="clear" w:color="auto" w:fill="FFFFFF"/>
        <w:spacing w:after="0" w:line="560" w:lineRule="atLeast"/>
        <w:ind w:firstLine="640"/>
        <w:jc w:val="both"/>
        <w:rPr>
          <w:rFonts w:hint="eastAsia" w:ascii="微软雅黑" w:hAnsi="微软雅黑" w:eastAsia="微软雅黑" w:cs="微软雅黑"/>
          <w:szCs w:val="32"/>
        </w:rPr>
      </w:pPr>
      <w:r>
        <w:rPr>
          <w:rFonts w:hint="eastAsia" w:ascii="微软雅黑" w:hAnsi="微软雅黑" w:eastAsia="微软雅黑" w:cs="微软雅黑"/>
          <w:kern w:val="0"/>
          <w:szCs w:val="32"/>
          <w:shd w:val="clear" w:color="auto" w:fill="FFFFFF"/>
          <w:lang w:bidi="ar"/>
        </w:rPr>
        <w:t>2.应聘人员在农业农村部及部属单位有亲属关系和主要社会关系的，应当在报名时主动报告。</w:t>
      </w:r>
    </w:p>
    <w:p w14:paraId="7BE6EF52">
      <w:pPr>
        <w:shd w:val="clear" w:color="auto" w:fill="FFFFFF"/>
        <w:spacing w:after="0" w:line="560" w:lineRule="atLeast"/>
        <w:ind w:firstLine="640"/>
        <w:jc w:val="both"/>
        <w:rPr>
          <w:rFonts w:hint="eastAsia" w:ascii="微软雅黑" w:hAnsi="微软雅黑" w:eastAsia="微软雅黑" w:cs="微软雅黑"/>
          <w:szCs w:val="32"/>
        </w:rPr>
      </w:pPr>
      <w:r>
        <w:rPr>
          <w:rFonts w:hint="eastAsia" w:ascii="微软雅黑" w:hAnsi="微软雅黑" w:eastAsia="微软雅黑" w:cs="微软雅黑"/>
          <w:kern w:val="0"/>
          <w:szCs w:val="32"/>
          <w:shd w:val="clear" w:color="auto" w:fill="FFFFFF"/>
          <w:lang w:bidi="ar"/>
        </w:rPr>
        <w:t>3.应聘人员报名时应承诺所提供的信息真实、准确、完整，并承担不实承诺相关责任，向招聘单位提交手签字版本《考生诚信承诺书》（附件4）。</w:t>
      </w:r>
    </w:p>
    <w:p w14:paraId="08BD91EF">
      <w:pPr>
        <w:shd w:val="clear" w:color="auto" w:fill="FFFFFF"/>
        <w:spacing w:after="0" w:line="560" w:lineRule="atLeast"/>
        <w:ind w:firstLine="640"/>
        <w:jc w:val="both"/>
        <w:rPr>
          <w:rFonts w:hint="eastAsia" w:ascii="微软雅黑" w:hAnsi="微软雅黑" w:eastAsia="微软雅黑" w:cs="微软雅黑"/>
          <w:szCs w:val="32"/>
        </w:rPr>
      </w:pPr>
      <w:r>
        <w:rPr>
          <w:rFonts w:hint="eastAsia" w:ascii="微软雅黑" w:hAnsi="微软雅黑" w:eastAsia="微软雅黑" w:cs="微软雅黑"/>
          <w:kern w:val="0"/>
          <w:szCs w:val="32"/>
          <w:shd w:val="clear" w:color="auto" w:fill="FFFFFF"/>
          <w:lang w:bidi="ar"/>
        </w:rPr>
        <w:t>4.将《中国水产科学研究院黄海水产研究所公开招聘工作人员简历》《考生诚信承诺书》及附件证明材料发送至招聘邮箱</w:t>
      </w:r>
      <w:r>
        <w:rPr>
          <w:rFonts w:hint="eastAsia" w:ascii="宋体" w:hAnsi="宋体" w:eastAsia="宋体" w:cs="宋体"/>
          <w:b/>
          <w:bCs/>
          <w:kern w:val="0"/>
          <w:sz w:val="32"/>
          <w:szCs w:val="32"/>
          <w:shd w:val="clear" w:color="auto" w:fill="FFFFFF"/>
          <w:lang w:bidi="ar"/>
        </w:rPr>
        <w:t>zhaopin@ysfri.ac.cn</w:t>
      </w: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sz w:val="32"/>
          <w:szCs w:val="32"/>
          <w:u w:val="none"/>
          <w14:textFill>
            <w14:solidFill>
              <w14:schemeClr w14:val="tx1"/>
            </w14:solidFill>
          </w14:textFill>
        </w:rPr>
        <w:fldChar w:fldCharType="begin"/>
      </w:r>
      <w:r>
        <w:rPr>
          <w:rFonts w:hint="eastAsia" w:ascii="宋体" w:hAnsi="宋体" w:eastAsia="宋体" w:cs="宋体"/>
          <w:b/>
          <w:bCs/>
          <w:color w:val="000000" w:themeColor="text1"/>
          <w:sz w:val="32"/>
          <w:szCs w:val="32"/>
          <w:u w:val="none"/>
          <w14:textFill>
            <w14:solidFill>
              <w14:schemeClr w14:val="tx1"/>
            </w14:solidFill>
          </w14:textFill>
        </w:rPr>
        <w:instrText xml:space="preserve"> HYPERLINK "mailto:quwyrsc@126.com" </w:instrText>
      </w:r>
      <w:r>
        <w:rPr>
          <w:rFonts w:hint="eastAsia" w:ascii="宋体" w:hAnsi="宋体" w:eastAsia="宋体" w:cs="宋体"/>
          <w:b/>
          <w:bCs/>
          <w:color w:val="000000" w:themeColor="text1"/>
          <w:sz w:val="32"/>
          <w:szCs w:val="32"/>
          <w:u w:val="none"/>
          <w14:textFill>
            <w14:solidFill>
              <w14:schemeClr w14:val="tx1"/>
            </w14:solidFill>
          </w14:textFill>
        </w:rPr>
        <w:fldChar w:fldCharType="separate"/>
      </w:r>
      <w:r>
        <w:rPr>
          <w:rStyle w:val="12"/>
          <w:rFonts w:hint="eastAsia" w:ascii="宋体" w:hAnsi="宋体" w:eastAsia="宋体" w:cs="宋体"/>
          <w:b/>
          <w:bCs/>
          <w:color w:val="000000" w:themeColor="text1"/>
          <w:sz w:val="32"/>
          <w:szCs w:val="32"/>
          <w:u w:val="none"/>
          <w14:textFill>
            <w14:solidFill>
              <w14:schemeClr w14:val="tx1"/>
            </w14:solidFill>
          </w14:textFill>
        </w:rPr>
        <w:t>quwyrsc@126.com</w:t>
      </w:r>
      <w:r>
        <w:rPr>
          <w:rFonts w:hint="eastAsia" w:ascii="宋体" w:hAnsi="宋体" w:eastAsia="宋体" w:cs="宋体"/>
          <w:b/>
          <w:bCs/>
          <w:color w:val="000000" w:themeColor="text1"/>
          <w:sz w:val="32"/>
          <w:szCs w:val="32"/>
          <w:u w:val="none"/>
          <w14:textFill>
            <w14:solidFill>
              <w14:schemeClr w14:val="tx1"/>
            </w14:solidFill>
          </w14:textFill>
        </w:rPr>
        <w:fldChar w:fldCharType="end"/>
      </w:r>
      <w:r>
        <w:rPr>
          <w:rFonts w:hint="eastAsia" w:ascii="宋体" w:hAnsi="宋体" w:eastAsia="宋体" w:cs="宋体"/>
          <w:b/>
          <w:bCs/>
          <w:color w:val="000000" w:themeColor="text1"/>
          <w:sz w:val="32"/>
          <w:szCs w:val="32"/>
          <w:u w:val="none"/>
          <w:lang w:val="en-US" w:eastAsia="zh-CN"/>
          <w14:textFill>
            <w14:solidFill>
              <w14:schemeClr w14:val="tx1"/>
            </w14:solidFill>
          </w14:textFill>
        </w:rPr>
        <w:t>,</w:t>
      </w:r>
      <w:r>
        <w:rPr>
          <w:rFonts w:hint="eastAsia" w:ascii="宋体" w:hAnsi="宋体" w:eastAsia="宋体" w:cs="宋体"/>
          <w:b/>
          <w:bCs/>
          <w:color w:val="000000" w:themeColor="text1"/>
          <w:sz w:val="32"/>
          <w:szCs w:val="32"/>
          <w:u w:val="none"/>
          <w14:textFill>
            <w14:solidFill>
              <w14:schemeClr w14:val="tx1"/>
            </w14:solidFill>
          </w14:textFill>
        </w:rPr>
        <w:fldChar w:fldCharType="begin"/>
      </w:r>
      <w:r>
        <w:rPr>
          <w:rFonts w:hint="eastAsia" w:ascii="宋体" w:hAnsi="宋体" w:eastAsia="宋体" w:cs="宋体"/>
          <w:b/>
          <w:bCs/>
          <w:color w:val="000000" w:themeColor="text1"/>
          <w:sz w:val="32"/>
          <w:szCs w:val="32"/>
          <w:u w:val="none"/>
          <w14:textFill>
            <w14:solidFill>
              <w14:schemeClr w14:val="tx1"/>
            </w14:solidFill>
          </w14:textFill>
        </w:rPr>
        <w:instrText xml:space="preserve"> HYPERLINK "mailto:ysfrirsc@126.com" </w:instrText>
      </w:r>
      <w:r>
        <w:rPr>
          <w:rFonts w:hint="eastAsia" w:ascii="宋体" w:hAnsi="宋体" w:eastAsia="宋体" w:cs="宋体"/>
          <w:b/>
          <w:bCs/>
          <w:color w:val="000000" w:themeColor="text1"/>
          <w:sz w:val="32"/>
          <w:szCs w:val="32"/>
          <w:u w:val="none"/>
          <w14:textFill>
            <w14:solidFill>
              <w14:schemeClr w14:val="tx1"/>
            </w14:solidFill>
          </w14:textFill>
        </w:rPr>
        <w:fldChar w:fldCharType="separate"/>
      </w:r>
      <w:r>
        <w:rPr>
          <w:rStyle w:val="12"/>
          <w:rFonts w:hint="eastAsia" w:ascii="宋体" w:hAnsi="宋体" w:eastAsia="宋体" w:cs="宋体"/>
          <w:b/>
          <w:bCs/>
          <w:color w:val="000000" w:themeColor="text1"/>
          <w:sz w:val="32"/>
          <w:szCs w:val="32"/>
          <w:u w:val="none"/>
          <w14:textFill>
            <w14:solidFill>
              <w14:schemeClr w14:val="tx1"/>
            </w14:solidFill>
          </w14:textFill>
        </w:rPr>
        <w:t>ysfrirsc@126.com</w:t>
      </w:r>
      <w:r>
        <w:rPr>
          <w:rFonts w:hint="eastAsia" w:ascii="宋体" w:hAnsi="宋体" w:eastAsia="宋体" w:cs="宋体"/>
          <w:b/>
          <w:bCs/>
          <w:color w:val="000000" w:themeColor="text1"/>
          <w:sz w:val="32"/>
          <w:szCs w:val="32"/>
          <w:u w:val="none"/>
          <w14:textFill>
            <w14:solidFill>
              <w14:schemeClr w14:val="tx1"/>
            </w14:solidFill>
          </w14:textFill>
        </w:rPr>
        <w:fldChar w:fldCharType="end"/>
      </w:r>
      <w:r>
        <w:rPr>
          <w:rFonts w:hint="eastAsia" w:ascii="微软雅黑" w:hAnsi="微软雅黑" w:eastAsia="微软雅黑" w:cs="微软雅黑"/>
          <w:kern w:val="0"/>
          <w:szCs w:val="32"/>
          <w:shd w:val="clear" w:color="auto" w:fill="FFFFFF"/>
          <w:lang w:bidi="ar"/>
        </w:rPr>
        <w:t>，发送邮件时</w:t>
      </w:r>
      <w:r>
        <w:rPr>
          <w:rFonts w:hint="eastAsia" w:ascii="微软雅黑" w:hAnsi="微软雅黑" w:eastAsia="微软雅黑" w:cs="微软雅黑"/>
          <w:b/>
          <w:bCs/>
          <w:kern w:val="0"/>
          <w:szCs w:val="32"/>
          <w:shd w:val="clear" w:color="auto" w:fill="FFFFFF"/>
          <w:lang w:bidi="ar"/>
        </w:rPr>
        <w:t>标题</w:t>
      </w:r>
      <w:r>
        <w:rPr>
          <w:rFonts w:hint="eastAsia" w:ascii="微软雅黑" w:hAnsi="微软雅黑" w:eastAsia="微软雅黑" w:cs="微软雅黑"/>
          <w:kern w:val="0"/>
          <w:szCs w:val="32"/>
          <w:shd w:val="clear" w:color="auto" w:fill="FFFFFF"/>
          <w:lang w:bidi="ar"/>
        </w:rPr>
        <w:t>及</w:t>
      </w:r>
      <w:r>
        <w:rPr>
          <w:rFonts w:hint="eastAsia" w:ascii="微软雅黑" w:hAnsi="微软雅黑" w:eastAsia="微软雅黑" w:cs="微软雅黑"/>
          <w:b/>
          <w:bCs/>
          <w:kern w:val="0"/>
          <w:szCs w:val="32"/>
          <w:shd w:val="clear" w:color="auto" w:fill="FFFFFF"/>
          <w:lang w:bidi="ar"/>
        </w:rPr>
        <w:t>附件</w:t>
      </w:r>
      <w:r>
        <w:rPr>
          <w:rFonts w:hint="eastAsia" w:ascii="微软雅黑" w:hAnsi="微软雅黑" w:eastAsia="微软雅黑" w:cs="微软雅黑"/>
          <w:kern w:val="0"/>
          <w:szCs w:val="32"/>
          <w:shd w:val="clear" w:color="auto" w:fill="FFFFFF"/>
          <w:lang w:bidi="ar"/>
        </w:rPr>
        <w:t>命名格式为“岗位名称-最高学位-姓名-毕业学校-毕业专业-研究方向</w:t>
      </w:r>
      <w:r>
        <w:rPr>
          <w:rFonts w:hint="eastAsia" w:ascii="微软雅黑" w:hAnsi="微软雅黑" w:eastAsia="微软雅黑" w:cs="微软雅黑"/>
          <w:kern w:val="0"/>
          <w:szCs w:val="32"/>
          <w:shd w:val="clear" w:color="auto" w:fill="FFFFFF"/>
          <w:lang w:val="en-US" w:eastAsia="zh-CN" w:bidi="ar"/>
        </w:rPr>
        <w:t>-海外博士网</w:t>
      </w:r>
      <w:r>
        <w:rPr>
          <w:rFonts w:hint="eastAsia" w:ascii="微软雅黑" w:hAnsi="微软雅黑" w:eastAsia="微软雅黑" w:cs="微软雅黑"/>
          <w:kern w:val="0"/>
          <w:szCs w:val="32"/>
          <w:shd w:val="clear" w:color="auto" w:fill="FFFFFF"/>
          <w:lang w:bidi="ar"/>
        </w:rPr>
        <w:t>”。</w:t>
      </w:r>
    </w:p>
    <w:p w14:paraId="2FF19A55">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rPr>
      </w:pPr>
      <w:r>
        <w:rPr>
          <w:rFonts w:hint="eastAsia" w:ascii="微软雅黑" w:hAnsi="微软雅黑" w:eastAsia="微软雅黑" w:cs="微软雅黑"/>
          <w:b/>
          <w:szCs w:val="32"/>
        </w:rPr>
        <w:t>（二</w:t>
      </w:r>
      <w:r>
        <w:rPr>
          <w:rFonts w:hint="eastAsia" w:ascii="微软雅黑" w:hAnsi="微软雅黑" w:eastAsia="微软雅黑" w:cs="微软雅黑"/>
          <w:b/>
          <w:szCs w:val="32"/>
        </w:rPr>
        <w:t>）</w:t>
      </w:r>
      <w:r>
        <w:rPr>
          <w:rFonts w:hint="eastAsia" w:ascii="微软雅黑" w:hAnsi="微软雅黑" w:eastAsia="微软雅黑" w:cs="微软雅黑"/>
          <w:b/>
          <w:szCs w:val="32"/>
        </w:rPr>
        <w:t>资格</w:t>
      </w:r>
      <w:r>
        <w:rPr>
          <w:rFonts w:hint="eastAsia" w:ascii="微软雅黑" w:hAnsi="微软雅黑" w:eastAsia="微软雅黑" w:cs="微软雅黑"/>
          <w:b/>
          <w:szCs w:val="32"/>
        </w:rPr>
        <w:t>审查</w:t>
      </w:r>
    </w:p>
    <w:p w14:paraId="020D5BEA">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1.按照国家有关政策规定及公开招聘公告公布的岗位条件和应聘要求，对应聘人员材料同步进行资格审查。</w:t>
      </w:r>
    </w:p>
    <w:p w14:paraId="3883FE71">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2.应聘人员在报名过程中须及时关注资格审查状态，未在规定时间内按要求报送补充材料的，视为资格审核不通过。</w:t>
      </w:r>
    </w:p>
    <w:p w14:paraId="6F8960F2">
      <w:pPr>
        <w:widowControl w:val="0"/>
        <w:adjustRightInd w:val="0"/>
        <w:snapToGrid w:val="0"/>
        <w:spacing w:after="0" w:line="560" w:lineRule="atLeast"/>
        <w:ind w:left="0" w:firstLine="640" w:firstLineChars="20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岗位招聘人数与通过资格审查人数的比例达到1:5方可开考，达不到该比例的，视情况研究决定是否按照实际通过资格审查的人数组织考试。</w:t>
      </w:r>
    </w:p>
    <w:p w14:paraId="55B95A0F">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rPr>
      </w:pPr>
      <w:r>
        <w:rPr>
          <w:rFonts w:hint="eastAsia" w:ascii="微软雅黑" w:hAnsi="微软雅黑" w:eastAsia="微软雅黑" w:cs="微软雅黑"/>
          <w:b/>
          <w:szCs w:val="32"/>
        </w:rPr>
        <w:t>（三</w:t>
      </w:r>
      <w:r>
        <w:rPr>
          <w:rFonts w:hint="eastAsia" w:ascii="微软雅黑" w:hAnsi="微软雅黑" w:eastAsia="微软雅黑" w:cs="微软雅黑"/>
          <w:b/>
          <w:szCs w:val="32"/>
        </w:rPr>
        <w:t>）考试</w:t>
      </w:r>
      <w:r>
        <w:rPr>
          <w:rFonts w:hint="eastAsia" w:ascii="微软雅黑" w:hAnsi="微软雅黑" w:eastAsia="微软雅黑" w:cs="微软雅黑"/>
          <w:b/>
          <w:szCs w:val="32"/>
        </w:rPr>
        <w:t>安排</w:t>
      </w:r>
    </w:p>
    <w:p w14:paraId="7E9665C4">
      <w:pPr>
        <w:shd w:val="clear" w:color="auto" w:fill="FFFFFF"/>
        <w:spacing w:after="0" w:line="560" w:lineRule="atLeast"/>
        <w:ind w:firstLine="640"/>
        <w:jc w:val="both"/>
        <w:rPr>
          <w:rFonts w:hint="eastAsia" w:ascii="微软雅黑" w:hAnsi="微软雅黑" w:eastAsia="微软雅黑" w:cs="微软雅黑"/>
          <w:color w:val="333333"/>
          <w:sz w:val="24"/>
          <w:szCs w:val="24"/>
        </w:rPr>
      </w:pPr>
      <w:r>
        <w:rPr>
          <w:rFonts w:hint="eastAsia" w:ascii="微软雅黑" w:hAnsi="微软雅黑" w:eastAsia="微软雅黑" w:cs="微软雅黑"/>
          <w:kern w:val="0"/>
          <w:szCs w:val="32"/>
          <w:shd w:val="clear" w:color="auto" w:fill="FFFFFF"/>
          <w:lang w:bidi="ar"/>
        </w:rPr>
        <w:t>考试包括笔试和面试，笔试合格分数线、面试比例、面试合格分数线、综合成绩计算等见报考单位具体要求（附件2）。笔试、面试等公告将在单位网站公布。考试地点设在山东省青岛市。</w:t>
      </w:r>
    </w:p>
    <w:p w14:paraId="68AE9EA2">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lang w:bidi="ar"/>
        </w:rPr>
      </w:pPr>
      <w:r>
        <w:rPr>
          <w:rFonts w:hint="eastAsia" w:ascii="微软雅黑" w:hAnsi="微软雅黑" w:eastAsia="微软雅黑" w:cs="微软雅黑"/>
          <w:b/>
          <w:szCs w:val="32"/>
          <w:lang w:bidi="ar"/>
        </w:rPr>
        <w:t>（四）体检和考察</w:t>
      </w:r>
    </w:p>
    <w:p w14:paraId="6270B823">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根据综合成绩由高到低的顺序，按照1:1的比例等额确定体检、考察人选。</w:t>
      </w:r>
    </w:p>
    <w:p w14:paraId="34621232">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1.体检。参照现行公务员录用体检标准组织实施体检，由单位统一组织。</w:t>
      </w:r>
    </w:p>
    <w:p w14:paraId="2B28113E">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2.考察。采取查阅个人档案、个别谈话等多种形式，按照德才兼备、以德为先的原则，全面考察政治思想、道德品质、遵纪守法、能力素质、工作学习表现等情况，并对应聘人员资格条件进行复查核实。</w:t>
      </w:r>
    </w:p>
    <w:p w14:paraId="23940CEA">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因应聘人员主动放弃或体检、考察不合格等原因出现的岗位候选人空缺，经单位研究后决定是否递补。</w:t>
      </w:r>
    </w:p>
    <w:p w14:paraId="469FE239">
      <w:pPr>
        <w:widowControl w:val="0"/>
        <w:adjustRightInd w:val="0"/>
        <w:snapToGrid w:val="0"/>
        <w:spacing w:after="0" w:line="560" w:lineRule="atLeast"/>
        <w:ind w:left="0" w:firstLine="640" w:firstLineChars="200"/>
        <w:jc w:val="both"/>
        <w:rPr>
          <w:rFonts w:hint="eastAsia" w:ascii="微软雅黑" w:hAnsi="微软雅黑" w:eastAsia="微软雅黑" w:cs="微软雅黑"/>
          <w:b/>
          <w:szCs w:val="32"/>
          <w:lang w:bidi="ar"/>
        </w:rPr>
      </w:pPr>
      <w:r>
        <w:rPr>
          <w:rFonts w:hint="eastAsia" w:ascii="微软雅黑" w:hAnsi="微软雅黑" w:eastAsia="微软雅黑" w:cs="微软雅黑"/>
          <w:b/>
          <w:szCs w:val="32"/>
          <w:lang w:bidi="ar"/>
        </w:rPr>
        <w:t>（五）公示和聘用</w:t>
      </w:r>
    </w:p>
    <w:p w14:paraId="5B051F4E">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根据考试、体检和考察结果，经研究确定拟聘人选，并在中央和国家机关所属事业单位公开招聘服务平台和本单位网站进行公示，公示期为7个工作日。</w:t>
      </w:r>
    </w:p>
    <w:p w14:paraId="3E93BA45">
      <w:pPr>
        <w:shd w:val="clear" w:color="auto" w:fill="FFFFFF"/>
        <w:spacing w:after="0" w:line="560" w:lineRule="atLeast"/>
        <w:ind w:left="0" w:firstLine="640"/>
        <w:jc w:val="both"/>
        <w:rPr>
          <w:rFonts w:hint="eastAsia" w:ascii="微软雅黑" w:hAnsi="微软雅黑" w:eastAsia="微软雅黑" w:cs="微软雅黑"/>
          <w:color w:val="auto"/>
          <w:szCs w:val="32"/>
        </w:rPr>
      </w:pPr>
      <w:r>
        <w:rPr>
          <w:rFonts w:hint="eastAsia" w:ascii="微软雅黑" w:hAnsi="微软雅黑" w:eastAsia="微软雅黑" w:cs="微软雅黑"/>
          <w:kern w:val="0"/>
          <w:szCs w:val="32"/>
          <w:shd w:val="clear" w:color="auto" w:fill="FFFFFF"/>
          <w:lang w:bidi="ar"/>
        </w:rPr>
        <w:t>公示期满无异议，且当年如期取得岗位要求的学历学位证书的，报上级主管部门审核同意后，按规定办理聘用手续。聘用人员实行试用期制度，试用期满考核合格的予以正式聘用。</w:t>
      </w:r>
    </w:p>
    <w:p w14:paraId="1AA243BA">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五、其它注意事项与说明</w:t>
      </w:r>
    </w:p>
    <w:p w14:paraId="20EFCE40">
      <w:pPr>
        <w:shd w:val="clear" w:color="auto" w:fill="FFFFFF"/>
        <w:spacing w:after="0" w:line="560" w:lineRule="atLeast"/>
        <w:ind w:left="0"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一）应聘人员须如实填写个人简历及相关信息。应聘人员在农业农村部及部属单位有亲属关系和主要社会关系的，应当在报名时主动报告。未认真填写、超时填报有关材料或不服从招聘工作安排，造成信息不全、有误及其他影响的，由应聘人员承担责任；弄虚作假的，将被取消应聘资格。</w:t>
      </w:r>
    </w:p>
    <w:p w14:paraId="3D463501">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二）本次所公布岗位的学历要求为考生所获得的最高学历（应届毕业生以即将获得的最高学历进行报考），专业要求为考生所获得的最高学历（应届毕业生以即将获得的最高学历）对应的专业；专业名称参照《普通高等学校本科专业目录（2012年）》、《普通高等学校本科专业目录（2024年）》、《授予博士、硕士学位和培养研究生学科、专业目录（2008年版）》、《学位授予和人才培养学科目录（2018年）》、《研究生教育学科专业目录（2022年）》。</w:t>
      </w:r>
    </w:p>
    <w:p w14:paraId="7498E167">
      <w:pPr>
        <w:shd w:val="clear" w:color="auto" w:fill="FFFFFF"/>
        <w:spacing w:after="0" w:line="560" w:lineRule="atLeast"/>
        <w:ind w:left="0"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（三）应届毕业生要按照招聘单位要求提供全国社保及个税缴纳记录等材料，并做书面承诺。</w:t>
      </w:r>
    </w:p>
    <w:p w14:paraId="015D0F77">
      <w:pPr>
        <w:shd w:val="clear" w:color="auto" w:fill="FFFFFF"/>
        <w:spacing w:after="0" w:line="560" w:lineRule="atLeast"/>
        <w:ind w:left="0"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（四）应聘人员报名后，请经常关注本单位的官方网站，及时了解有关笔试、面试及其他相关信息。</w:t>
      </w:r>
    </w:p>
    <w:p w14:paraId="4A6C6E03">
      <w:pPr>
        <w:shd w:val="clear" w:color="auto" w:fill="FFFFFF"/>
        <w:spacing w:after="0" w:line="560" w:lineRule="atLeast"/>
        <w:ind w:left="0"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五）符合申报“优博人才”岗位条件（附件5）的考生可自愿申报相应招聘岗位。院“优博人才”获批后直接聘用到副研究员三级岗位（专业技术七级），享受相应工资待遇；提供不低于40万元的科研基金。所“优博人才”获批后享受3-6万元/年的岗位补助，其中交叉新兴学科（如大数据与人工智能以及声、光、电等专业）岗位补助可放宽至10万元/年。</w:t>
      </w:r>
    </w:p>
    <w:p w14:paraId="5025A0C2">
      <w:pPr>
        <w:shd w:val="clear" w:color="auto" w:fill="FFFFFF"/>
        <w:spacing w:after="0" w:line="560" w:lineRule="atLeast"/>
        <w:ind w:firstLine="640"/>
        <w:jc w:val="both"/>
        <w:rPr>
          <w:rFonts w:hint="eastAsia" w:ascii="微软雅黑" w:hAnsi="微软雅黑" w:eastAsia="微软雅黑" w:cs="微软雅黑"/>
          <w:color w:val="auto"/>
          <w:szCs w:val="32"/>
        </w:rPr>
      </w:pPr>
      <w:r>
        <w:rPr>
          <w:rFonts w:hint="eastAsia" w:ascii="微软雅黑" w:hAnsi="微软雅黑" w:eastAsia="微软雅黑" w:cs="微软雅黑"/>
          <w:kern w:val="0"/>
          <w:szCs w:val="32"/>
          <w:shd w:val="clear" w:color="auto" w:fill="FFFFFF"/>
          <w:lang w:bidi="ar"/>
        </w:rPr>
        <w:t>应届博士毕业生或出站博士后，录用后可择优推荐申报山东省泰山学者青年专家。符合条件的优秀人才可享受山东省、青岛市人才引进待遇政策。</w:t>
      </w:r>
    </w:p>
    <w:p w14:paraId="3E6D78E3">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（六）资格审核贯穿公开招聘全过程，任何环节发现应聘人员不符合资格条件的，由考生承担相关责任，招聘单位可取消应聘或聘用资格。</w:t>
      </w:r>
    </w:p>
    <w:p w14:paraId="45E8630D">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六、生活补贴</w:t>
      </w:r>
    </w:p>
    <w:p w14:paraId="732C3A2A">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单位设有食堂，为职工提供午餐补贴；为远距离上下班职工提供交通费补贴；为单身职工提供宿舍，为已婚职工提供5年低租金周转房（市区90平米套二公寓，前五年租金800元/月，同类房屋出租价格为2500元/月）；协助安排职工子女幼儿园、小学入学。</w:t>
      </w:r>
    </w:p>
    <w:p w14:paraId="21DFFFF3">
      <w:pPr>
        <w:shd w:val="clear" w:color="auto" w:fill="FFFFFF"/>
        <w:spacing w:after="0" w:line="560" w:lineRule="atLeast"/>
        <w:ind w:firstLine="64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kern w:val="0"/>
          <w:szCs w:val="32"/>
          <w:shd w:val="clear" w:color="auto" w:fill="FFFFFF"/>
          <w:lang w:bidi="ar"/>
        </w:rPr>
        <w:t>符合条件的新职工可按青岛市政策享受36个月住房补贴（博士每月1200元，硕士每月800元，本科每月500元）;出站博士后来所工作可享受青岛市安家补贴25万元。</w:t>
      </w:r>
    </w:p>
    <w:p w14:paraId="60FE0F2C">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七、联系方式</w:t>
      </w:r>
    </w:p>
    <w:p w14:paraId="484458C0">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单位地址：山东省青岛市市南区南京路106号</w:t>
      </w:r>
    </w:p>
    <w:p w14:paraId="4B2A00CE">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联 系 人：李</w:t>
      </w:r>
      <w:r>
        <w:rPr>
          <w:rFonts w:hint="eastAsia" w:ascii="微软雅黑" w:hAnsi="微软雅黑" w:eastAsia="微软雅黑" w:cs="微软雅黑"/>
          <w:szCs w:val="32"/>
        </w:rPr>
        <w:t>老师</w:t>
      </w:r>
      <w:r>
        <w:rPr>
          <w:rFonts w:hint="eastAsia" w:ascii="微软雅黑" w:hAnsi="微软雅黑" w:eastAsia="微软雅黑" w:cs="微软雅黑"/>
          <w:szCs w:val="32"/>
        </w:rPr>
        <w:t>、洪老师</w:t>
      </w:r>
    </w:p>
    <w:p w14:paraId="127CDA78">
      <w:pPr>
        <w:adjustRightInd w:val="0"/>
        <w:snapToGrid w:val="0"/>
        <w:spacing w:after="0" w:line="560" w:lineRule="atLeast"/>
        <w:ind w:left="0" w:firstLine="640" w:firstLineChars="200"/>
        <w:jc w:val="both"/>
        <w:rPr>
          <w:rFonts w:hint="eastAsia" w:ascii="微软雅黑" w:hAnsi="微软雅黑" w:eastAsia="微软雅黑" w:cs="微软雅黑"/>
          <w:kern w:val="0"/>
          <w:szCs w:val="32"/>
          <w:shd w:val="clear" w:color="auto" w:fill="FFFFFF"/>
          <w:lang w:bidi="ar"/>
        </w:rPr>
      </w:pPr>
      <w:r>
        <w:rPr>
          <w:rFonts w:hint="eastAsia" w:ascii="微软雅黑" w:hAnsi="微软雅黑" w:eastAsia="微软雅黑" w:cs="微软雅黑"/>
          <w:szCs w:val="32"/>
        </w:rPr>
        <w:t>邮    箱：</w:t>
      </w:r>
      <w:r>
        <w:rPr>
          <w:rFonts w:hint="default" w:ascii="Times New Roman" w:hAnsi="Times New Roman" w:eastAsia="微软雅黑" w:cs="Times New Roman"/>
          <w:b/>
          <w:bCs/>
          <w:sz w:val="28"/>
          <w:szCs w:val="28"/>
        </w:rPr>
        <w:t>zhaopin@ysfri.ac.cn</w:t>
      </w: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b/>
          <w:bCs/>
          <w:color w:val="000000" w:themeColor="text1"/>
          <w:sz w:val="28"/>
          <w:szCs w:val="28"/>
          <w:u w:val="none"/>
          <w14:textFill>
            <w14:solidFill>
              <w14:schemeClr w14:val="tx1"/>
            </w14:solidFill>
          </w14:textFill>
        </w:rPr>
        <w:fldChar w:fldCharType="begin"/>
      </w:r>
      <w:r>
        <w:rPr>
          <w:rFonts w:hint="default" w:ascii="Times New Roman" w:hAnsi="Times New Roman" w:eastAsia="宋体" w:cs="Times New Roman"/>
          <w:b/>
          <w:bCs/>
          <w:color w:val="000000" w:themeColor="text1"/>
          <w:sz w:val="28"/>
          <w:szCs w:val="28"/>
          <w:u w:val="none"/>
          <w14:textFill>
            <w14:solidFill>
              <w14:schemeClr w14:val="tx1"/>
            </w14:solidFill>
          </w14:textFill>
        </w:rPr>
        <w:instrText xml:space="preserve"> HYPERLINK "mailto:quwyrsc@126.com" </w:instrText>
      </w:r>
      <w:r>
        <w:rPr>
          <w:rFonts w:hint="default" w:ascii="Times New Roman" w:hAnsi="Times New Roman" w:eastAsia="宋体" w:cs="Times New Roman"/>
          <w:b/>
          <w:bCs/>
          <w:color w:val="000000" w:themeColor="text1"/>
          <w:sz w:val="28"/>
          <w:szCs w:val="28"/>
          <w:u w:val="none"/>
          <w14:textFill>
            <w14:solidFill>
              <w14:schemeClr w14:val="tx1"/>
            </w14:solidFill>
          </w14:textFill>
        </w:rPr>
        <w:fldChar w:fldCharType="separate"/>
      </w:r>
      <w:r>
        <w:rPr>
          <w:rStyle w:val="12"/>
          <w:rFonts w:hint="default" w:ascii="Times New Roman" w:hAnsi="Times New Roman" w:eastAsia="宋体" w:cs="Times New Roman"/>
          <w:b/>
          <w:bCs/>
          <w:color w:val="000000" w:themeColor="text1"/>
          <w:sz w:val="28"/>
          <w:szCs w:val="28"/>
          <w:u w:val="none"/>
          <w14:textFill>
            <w14:solidFill>
              <w14:schemeClr w14:val="tx1"/>
            </w14:solidFill>
          </w14:textFill>
        </w:rPr>
        <w:t>quwyrsc@126.com</w:t>
      </w:r>
      <w:r>
        <w:rPr>
          <w:rFonts w:hint="default" w:ascii="Times New Roman" w:hAnsi="Times New Roman" w:eastAsia="宋体" w:cs="Times New Roman"/>
          <w:b/>
          <w:bCs/>
          <w:color w:val="000000" w:themeColor="text1"/>
          <w:sz w:val="28"/>
          <w:szCs w:val="28"/>
          <w:u w:val="none"/>
          <w14:textFill>
            <w14:solidFill>
              <w14:schemeClr w14:val="tx1"/>
            </w14:solidFill>
          </w14:textFill>
        </w:rPr>
        <w:fldChar w:fldCharType="end"/>
      </w:r>
      <w:r>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8"/>
          <w:szCs w:val="28"/>
          <w:u w:val="none"/>
          <w14:textFill>
            <w14:solidFill>
              <w14:schemeClr w14:val="tx1"/>
            </w14:solidFill>
          </w14:textFill>
        </w:rPr>
        <w:fldChar w:fldCharType="begin"/>
      </w:r>
      <w:r>
        <w:rPr>
          <w:rFonts w:hint="default" w:ascii="Times New Roman" w:hAnsi="Times New Roman" w:eastAsia="宋体" w:cs="Times New Roman"/>
          <w:b/>
          <w:bCs/>
          <w:color w:val="000000" w:themeColor="text1"/>
          <w:sz w:val="28"/>
          <w:szCs w:val="28"/>
          <w:u w:val="none"/>
          <w14:textFill>
            <w14:solidFill>
              <w14:schemeClr w14:val="tx1"/>
            </w14:solidFill>
          </w14:textFill>
        </w:rPr>
        <w:instrText xml:space="preserve"> HYPERLINK "mailto:ysfrirsc@126.com" </w:instrText>
      </w:r>
      <w:r>
        <w:rPr>
          <w:rFonts w:hint="default" w:ascii="Times New Roman" w:hAnsi="Times New Roman" w:eastAsia="宋体" w:cs="Times New Roman"/>
          <w:b/>
          <w:bCs/>
          <w:color w:val="000000" w:themeColor="text1"/>
          <w:sz w:val="28"/>
          <w:szCs w:val="28"/>
          <w:u w:val="none"/>
          <w14:textFill>
            <w14:solidFill>
              <w14:schemeClr w14:val="tx1"/>
            </w14:solidFill>
          </w14:textFill>
        </w:rPr>
        <w:fldChar w:fldCharType="separate"/>
      </w:r>
      <w:r>
        <w:rPr>
          <w:rStyle w:val="12"/>
          <w:rFonts w:hint="default" w:ascii="Times New Roman" w:hAnsi="Times New Roman" w:eastAsia="宋体" w:cs="Times New Roman"/>
          <w:b/>
          <w:bCs/>
          <w:color w:val="000000" w:themeColor="text1"/>
          <w:sz w:val="28"/>
          <w:szCs w:val="28"/>
          <w:u w:val="none"/>
          <w14:textFill>
            <w14:solidFill>
              <w14:schemeClr w14:val="tx1"/>
            </w14:solidFill>
          </w14:textFill>
        </w:rPr>
        <w:t>ysfrirsc@126.com</w:t>
      </w:r>
      <w:r>
        <w:rPr>
          <w:rFonts w:hint="default" w:ascii="Times New Roman" w:hAnsi="Times New Roman" w:eastAsia="宋体" w:cs="Times New Roman"/>
          <w:b/>
          <w:bCs/>
          <w:color w:val="000000" w:themeColor="text1"/>
          <w:sz w:val="28"/>
          <w:szCs w:val="28"/>
          <w:u w:val="none"/>
          <w14:textFill>
            <w14:solidFill>
              <w14:schemeClr w14:val="tx1"/>
            </w14:solidFill>
          </w14:textFill>
        </w:rPr>
        <w:fldChar w:fldCharType="end"/>
      </w:r>
      <w:r>
        <w:rPr>
          <w:rFonts w:hint="default" w:ascii="Times New Roman" w:hAnsi="Times New Roman" w:eastAsia="微软雅黑" w:cs="Times New Roman"/>
          <w:b/>
          <w:bCs/>
          <w:kern w:val="0"/>
          <w:sz w:val="28"/>
          <w:szCs w:val="28"/>
          <w:shd w:val="clear" w:color="auto" w:fill="FFFFFF"/>
          <w:lang w:bidi="ar"/>
        </w:rPr>
        <w:t>，</w:t>
      </w:r>
    </w:p>
    <w:p w14:paraId="426B1C3C">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kern w:val="0"/>
          <w:szCs w:val="32"/>
          <w:shd w:val="clear" w:color="auto" w:fill="FFFFFF"/>
          <w:lang w:bidi="ar"/>
        </w:rPr>
        <w:t>发送邮件时</w:t>
      </w:r>
      <w:r>
        <w:rPr>
          <w:rFonts w:hint="eastAsia" w:ascii="微软雅黑" w:hAnsi="微软雅黑" w:eastAsia="微软雅黑" w:cs="微软雅黑"/>
          <w:b/>
          <w:bCs/>
          <w:kern w:val="0"/>
          <w:szCs w:val="32"/>
          <w:shd w:val="clear" w:color="auto" w:fill="FFFFFF"/>
          <w:lang w:bidi="ar"/>
        </w:rPr>
        <w:t>标题</w:t>
      </w:r>
      <w:r>
        <w:rPr>
          <w:rFonts w:hint="eastAsia" w:ascii="微软雅黑" w:hAnsi="微软雅黑" w:eastAsia="微软雅黑" w:cs="微软雅黑"/>
          <w:kern w:val="0"/>
          <w:szCs w:val="32"/>
          <w:shd w:val="clear" w:color="auto" w:fill="FFFFFF"/>
          <w:lang w:bidi="ar"/>
        </w:rPr>
        <w:t>及</w:t>
      </w:r>
      <w:r>
        <w:rPr>
          <w:rFonts w:hint="eastAsia" w:ascii="微软雅黑" w:hAnsi="微软雅黑" w:eastAsia="微软雅黑" w:cs="微软雅黑"/>
          <w:b/>
          <w:bCs/>
          <w:kern w:val="0"/>
          <w:szCs w:val="32"/>
          <w:shd w:val="clear" w:color="auto" w:fill="FFFFFF"/>
          <w:lang w:bidi="ar"/>
        </w:rPr>
        <w:t>附件</w:t>
      </w:r>
      <w:r>
        <w:rPr>
          <w:rFonts w:hint="eastAsia" w:ascii="微软雅黑" w:hAnsi="微软雅黑" w:eastAsia="微软雅黑" w:cs="微软雅黑"/>
          <w:kern w:val="0"/>
          <w:szCs w:val="32"/>
          <w:shd w:val="clear" w:color="auto" w:fill="FFFFFF"/>
          <w:lang w:bidi="ar"/>
        </w:rPr>
        <w:t>命名格式为“岗位名称-最高学位-姓名-毕业学校-毕业专业-研究方向</w:t>
      </w:r>
      <w:r>
        <w:rPr>
          <w:rFonts w:hint="eastAsia" w:ascii="微软雅黑" w:hAnsi="微软雅黑" w:eastAsia="微软雅黑" w:cs="微软雅黑"/>
          <w:kern w:val="0"/>
          <w:szCs w:val="32"/>
          <w:shd w:val="clear" w:color="auto" w:fill="FFFFFF"/>
          <w:lang w:val="en-US" w:eastAsia="zh-CN" w:bidi="ar"/>
        </w:rPr>
        <w:t>-海外博士网</w:t>
      </w:r>
      <w:r>
        <w:rPr>
          <w:rFonts w:hint="eastAsia" w:ascii="微软雅黑" w:hAnsi="微软雅黑" w:eastAsia="微软雅黑" w:cs="微软雅黑"/>
          <w:kern w:val="0"/>
          <w:szCs w:val="32"/>
          <w:shd w:val="clear" w:color="auto" w:fill="FFFFFF"/>
          <w:lang w:bidi="ar"/>
        </w:rPr>
        <w:t>”。</w:t>
      </w:r>
      <w:r>
        <w:rPr>
          <w:rFonts w:hint="eastAsia" w:ascii="微软雅黑" w:hAnsi="微软雅黑" w:eastAsia="微软雅黑" w:cs="微软雅黑"/>
          <w:szCs w:val="32"/>
        </w:rPr>
        <w:t xml:space="preserve"> </w:t>
      </w:r>
      <w:r>
        <w:rPr>
          <w:rFonts w:hint="eastAsia" w:ascii="微软雅黑" w:hAnsi="微软雅黑" w:eastAsia="微软雅黑" w:cs="微软雅黑"/>
          <w:szCs w:val="32"/>
        </w:rPr>
        <w:t xml:space="preserve">  </w:t>
      </w:r>
    </w:p>
    <w:p w14:paraId="51C8F9A1">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邮编：266071</w:t>
      </w:r>
    </w:p>
    <w:p w14:paraId="29430C97">
      <w:pPr>
        <w:adjustRightInd w:val="0"/>
        <w:snapToGrid w:val="0"/>
        <w:spacing w:after="0" w:line="560" w:lineRule="atLeast"/>
        <w:ind w:left="0" w:firstLine="640" w:firstLineChars="200"/>
        <w:jc w:val="both"/>
        <w:rPr>
          <w:rFonts w:hint="eastAsia" w:ascii="微软雅黑" w:hAnsi="微软雅黑" w:eastAsia="微软雅黑" w:cs="微软雅黑"/>
          <w:szCs w:val="32"/>
        </w:rPr>
      </w:pPr>
      <w:r>
        <w:rPr>
          <w:rFonts w:hint="eastAsia" w:ascii="微软雅黑" w:hAnsi="微软雅黑" w:eastAsia="微软雅黑" w:cs="微软雅黑"/>
          <w:szCs w:val="32"/>
        </w:rPr>
        <w:t>联系电话：0532-85836343、85817503</w:t>
      </w:r>
    </w:p>
    <w:p w14:paraId="5CB01F22">
      <w:pPr>
        <w:adjustRightInd w:val="0"/>
        <w:snapToGrid w:val="0"/>
        <w:spacing w:after="0" w:line="560" w:lineRule="atLeast"/>
        <w:ind w:left="0" w:firstLine="640" w:firstLineChars="200"/>
        <w:jc w:val="both"/>
        <w:rPr>
          <w:rFonts w:hint="eastAsia" w:ascii="微软雅黑" w:hAnsi="微软雅黑" w:eastAsia="微软雅黑" w:cs="微软雅黑"/>
          <w:szCs w:val="32"/>
        </w:rPr>
      </w:pPr>
    </w:p>
    <w:p w14:paraId="2ADD5587">
      <w:pPr>
        <w:adjustRightInd w:val="0"/>
        <w:snapToGrid w:val="0"/>
        <w:spacing w:after="0" w:line="560" w:lineRule="atLeast"/>
        <w:ind w:left="0" w:leftChars="0" w:firstLine="0" w:firstLineChars="0"/>
        <w:jc w:val="both"/>
        <w:rPr>
          <w:rFonts w:hint="eastAsia" w:ascii="微软雅黑" w:hAnsi="微软雅黑" w:eastAsia="微软雅黑" w:cs="微软雅黑"/>
          <w:szCs w:val="32"/>
        </w:rPr>
      </w:pPr>
      <w:bookmarkStart w:id="0" w:name="_GoBack"/>
      <w:bookmarkEnd w:id="0"/>
    </w:p>
    <w:sectPr>
      <w:pgSz w:w="11906" w:h="16838"/>
      <w:pgMar w:top="1418"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SC DemiLight">
    <w:panose1 w:val="020B0200000000000000"/>
    <w:charset w:val="86"/>
    <w:family w:val="auto"/>
    <w:pitch w:val="default"/>
    <w:sig w:usb0="20000083" w:usb1="2ADF3C10" w:usb2="00000016" w:usb3="00000000" w:csb0="60060107"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C0"/>
    <w:rsid w:val="00020768"/>
    <w:rsid w:val="000240CE"/>
    <w:rsid w:val="00050A60"/>
    <w:rsid w:val="00057DFB"/>
    <w:rsid w:val="00065E12"/>
    <w:rsid w:val="000E4A18"/>
    <w:rsid w:val="000F36F3"/>
    <w:rsid w:val="00112585"/>
    <w:rsid w:val="00116C83"/>
    <w:rsid w:val="00120BEF"/>
    <w:rsid w:val="001245C0"/>
    <w:rsid w:val="00136E75"/>
    <w:rsid w:val="0016401D"/>
    <w:rsid w:val="00194034"/>
    <w:rsid w:val="0019663D"/>
    <w:rsid w:val="001A2550"/>
    <w:rsid w:val="001D6828"/>
    <w:rsid w:val="001E3DA3"/>
    <w:rsid w:val="00201EF8"/>
    <w:rsid w:val="00205AE6"/>
    <w:rsid w:val="00234D78"/>
    <w:rsid w:val="00250676"/>
    <w:rsid w:val="0029288D"/>
    <w:rsid w:val="002B1358"/>
    <w:rsid w:val="002C0EA9"/>
    <w:rsid w:val="002D6381"/>
    <w:rsid w:val="002E2571"/>
    <w:rsid w:val="002E3FF7"/>
    <w:rsid w:val="002E5B1D"/>
    <w:rsid w:val="00306050"/>
    <w:rsid w:val="003071D3"/>
    <w:rsid w:val="0031489F"/>
    <w:rsid w:val="003407FD"/>
    <w:rsid w:val="00343163"/>
    <w:rsid w:val="00344626"/>
    <w:rsid w:val="003468A0"/>
    <w:rsid w:val="0038147D"/>
    <w:rsid w:val="00382F15"/>
    <w:rsid w:val="00391FF4"/>
    <w:rsid w:val="00397CC9"/>
    <w:rsid w:val="003A7505"/>
    <w:rsid w:val="003C7879"/>
    <w:rsid w:val="003D03AF"/>
    <w:rsid w:val="003E15CA"/>
    <w:rsid w:val="003E16E6"/>
    <w:rsid w:val="003F19A7"/>
    <w:rsid w:val="004004D6"/>
    <w:rsid w:val="004357D1"/>
    <w:rsid w:val="00446B82"/>
    <w:rsid w:val="00463100"/>
    <w:rsid w:val="004750F6"/>
    <w:rsid w:val="00491DAD"/>
    <w:rsid w:val="004A74CD"/>
    <w:rsid w:val="004D3A2E"/>
    <w:rsid w:val="004D4AE3"/>
    <w:rsid w:val="00513F3A"/>
    <w:rsid w:val="00524A14"/>
    <w:rsid w:val="00541ABC"/>
    <w:rsid w:val="005424B0"/>
    <w:rsid w:val="00547A41"/>
    <w:rsid w:val="005512D5"/>
    <w:rsid w:val="00565806"/>
    <w:rsid w:val="00573A47"/>
    <w:rsid w:val="0058444C"/>
    <w:rsid w:val="00596541"/>
    <w:rsid w:val="005A1C32"/>
    <w:rsid w:val="005B64ED"/>
    <w:rsid w:val="005C6BB7"/>
    <w:rsid w:val="005E6661"/>
    <w:rsid w:val="005F0E1D"/>
    <w:rsid w:val="00601726"/>
    <w:rsid w:val="006327C9"/>
    <w:rsid w:val="00636D20"/>
    <w:rsid w:val="006524AC"/>
    <w:rsid w:val="00656BA5"/>
    <w:rsid w:val="00660552"/>
    <w:rsid w:val="00661F05"/>
    <w:rsid w:val="00663F69"/>
    <w:rsid w:val="0069008D"/>
    <w:rsid w:val="00693D2D"/>
    <w:rsid w:val="006B0B65"/>
    <w:rsid w:val="006C0776"/>
    <w:rsid w:val="006C5187"/>
    <w:rsid w:val="006D7C8D"/>
    <w:rsid w:val="00717433"/>
    <w:rsid w:val="007467D8"/>
    <w:rsid w:val="00750252"/>
    <w:rsid w:val="00756D9B"/>
    <w:rsid w:val="007759FF"/>
    <w:rsid w:val="007A2894"/>
    <w:rsid w:val="007B523D"/>
    <w:rsid w:val="007B69FB"/>
    <w:rsid w:val="007F378D"/>
    <w:rsid w:val="007F496D"/>
    <w:rsid w:val="007F4CA5"/>
    <w:rsid w:val="007F55E9"/>
    <w:rsid w:val="007F6625"/>
    <w:rsid w:val="00820F8A"/>
    <w:rsid w:val="00826BAC"/>
    <w:rsid w:val="008A1C05"/>
    <w:rsid w:val="008A6683"/>
    <w:rsid w:val="008A79F3"/>
    <w:rsid w:val="008B39B7"/>
    <w:rsid w:val="008C59D5"/>
    <w:rsid w:val="008F22C2"/>
    <w:rsid w:val="008F51C4"/>
    <w:rsid w:val="009107C6"/>
    <w:rsid w:val="00931F3C"/>
    <w:rsid w:val="00967BF7"/>
    <w:rsid w:val="009A06DF"/>
    <w:rsid w:val="009B2158"/>
    <w:rsid w:val="009B291A"/>
    <w:rsid w:val="009D25AD"/>
    <w:rsid w:val="009E64DF"/>
    <w:rsid w:val="009F0A13"/>
    <w:rsid w:val="009F7CF2"/>
    <w:rsid w:val="00A00C24"/>
    <w:rsid w:val="00A118DF"/>
    <w:rsid w:val="00A149EE"/>
    <w:rsid w:val="00A3500D"/>
    <w:rsid w:val="00A56821"/>
    <w:rsid w:val="00A606F3"/>
    <w:rsid w:val="00A94417"/>
    <w:rsid w:val="00AA3A4D"/>
    <w:rsid w:val="00AB4F4D"/>
    <w:rsid w:val="00AB762E"/>
    <w:rsid w:val="00AC305B"/>
    <w:rsid w:val="00AF2B8C"/>
    <w:rsid w:val="00B07548"/>
    <w:rsid w:val="00B34B66"/>
    <w:rsid w:val="00B45532"/>
    <w:rsid w:val="00B62C3B"/>
    <w:rsid w:val="00B84713"/>
    <w:rsid w:val="00B860EF"/>
    <w:rsid w:val="00BB619F"/>
    <w:rsid w:val="00BB727F"/>
    <w:rsid w:val="00BE377F"/>
    <w:rsid w:val="00C0215B"/>
    <w:rsid w:val="00C2013E"/>
    <w:rsid w:val="00C20C99"/>
    <w:rsid w:val="00C33837"/>
    <w:rsid w:val="00C363DB"/>
    <w:rsid w:val="00C67BA5"/>
    <w:rsid w:val="00C74836"/>
    <w:rsid w:val="00CC0D05"/>
    <w:rsid w:val="00CC712A"/>
    <w:rsid w:val="00CD35E5"/>
    <w:rsid w:val="00CE07A3"/>
    <w:rsid w:val="00CE1979"/>
    <w:rsid w:val="00CE20A7"/>
    <w:rsid w:val="00CE58F1"/>
    <w:rsid w:val="00CF59A4"/>
    <w:rsid w:val="00D06AFE"/>
    <w:rsid w:val="00D3500B"/>
    <w:rsid w:val="00D451A1"/>
    <w:rsid w:val="00D45A0C"/>
    <w:rsid w:val="00D60282"/>
    <w:rsid w:val="00D95B90"/>
    <w:rsid w:val="00DC1A44"/>
    <w:rsid w:val="00DC2464"/>
    <w:rsid w:val="00DC5D6B"/>
    <w:rsid w:val="00DD0730"/>
    <w:rsid w:val="00E06C72"/>
    <w:rsid w:val="00E07548"/>
    <w:rsid w:val="00E64C6F"/>
    <w:rsid w:val="00E74D00"/>
    <w:rsid w:val="00E82F07"/>
    <w:rsid w:val="00E94DC9"/>
    <w:rsid w:val="00E959ED"/>
    <w:rsid w:val="00ED6F29"/>
    <w:rsid w:val="00EE1A30"/>
    <w:rsid w:val="00F1183F"/>
    <w:rsid w:val="00F22FB8"/>
    <w:rsid w:val="00F23E42"/>
    <w:rsid w:val="00F26B26"/>
    <w:rsid w:val="00F527CA"/>
    <w:rsid w:val="00F552A9"/>
    <w:rsid w:val="00F93C02"/>
    <w:rsid w:val="00FA254B"/>
    <w:rsid w:val="00FB5443"/>
    <w:rsid w:val="00FC471B"/>
    <w:rsid w:val="00FC5455"/>
    <w:rsid w:val="00FC6836"/>
    <w:rsid w:val="00FD3930"/>
    <w:rsid w:val="00FE1D70"/>
    <w:rsid w:val="00FE60FE"/>
    <w:rsid w:val="00FE7222"/>
    <w:rsid w:val="06B104C9"/>
    <w:rsid w:val="07927288"/>
    <w:rsid w:val="07C47DE2"/>
    <w:rsid w:val="07CF4805"/>
    <w:rsid w:val="08393BA7"/>
    <w:rsid w:val="08FA3336"/>
    <w:rsid w:val="0B8D0229"/>
    <w:rsid w:val="0D21216C"/>
    <w:rsid w:val="0D6A375C"/>
    <w:rsid w:val="0D816B7A"/>
    <w:rsid w:val="0DC727FC"/>
    <w:rsid w:val="0ED51BFF"/>
    <w:rsid w:val="0EF73A15"/>
    <w:rsid w:val="100F4B67"/>
    <w:rsid w:val="12F82AA6"/>
    <w:rsid w:val="14AD6911"/>
    <w:rsid w:val="173043E2"/>
    <w:rsid w:val="17724A78"/>
    <w:rsid w:val="183A62F0"/>
    <w:rsid w:val="19BD47B7"/>
    <w:rsid w:val="1BCE0027"/>
    <w:rsid w:val="1D1D51E9"/>
    <w:rsid w:val="1D526E45"/>
    <w:rsid w:val="1EB405B5"/>
    <w:rsid w:val="238C1F42"/>
    <w:rsid w:val="27377370"/>
    <w:rsid w:val="27D45306"/>
    <w:rsid w:val="2AFC6642"/>
    <w:rsid w:val="2C4414C7"/>
    <w:rsid w:val="2D291C9D"/>
    <w:rsid w:val="2DEF20D7"/>
    <w:rsid w:val="2E160D9D"/>
    <w:rsid w:val="2ED4251A"/>
    <w:rsid w:val="2F9130C3"/>
    <w:rsid w:val="311F3710"/>
    <w:rsid w:val="333F3168"/>
    <w:rsid w:val="334B0167"/>
    <w:rsid w:val="33601E57"/>
    <w:rsid w:val="347B0F20"/>
    <w:rsid w:val="347C1134"/>
    <w:rsid w:val="350865A2"/>
    <w:rsid w:val="357311CC"/>
    <w:rsid w:val="35E86141"/>
    <w:rsid w:val="36B920BD"/>
    <w:rsid w:val="374C3EDE"/>
    <w:rsid w:val="3A0F4CF3"/>
    <w:rsid w:val="3D987A9E"/>
    <w:rsid w:val="418338D6"/>
    <w:rsid w:val="41E9464F"/>
    <w:rsid w:val="42C67F07"/>
    <w:rsid w:val="43671E93"/>
    <w:rsid w:val="43D80F86"/>
    <w:rsid w:val="451F44FC"/>
    <w:rsid w:val="45460E2C"/>
    <w:rsid w:val="45672C23"/>
    <w:rsid w:val="45CC36B2"/>
    <w:rsid w:val="46CB0F3F"/>
    <w:rsid w:val="49345E35"/>
    <w:rsid w:val="4A7B5E19"/>
    <w:rsid w:val="4AEF0CFA"/>
    <w:rsid w:val="4B06035B"/>
    <w:rsid w:val="4C352402"/>
    <w:rsid w:val="4C635859"/>
    <w:rsid w:val="4F16006E"/>
    <w:rsid w:val="51790FCA"/>
    <w:rsid w:val="541303D5"/>
    <w:rsid w:val="546E385E"/>
    <w:rsid w:val="55807CEC"/>
    <w:rsid w:val="55985EE0"/>
    <w:rsid w:val="56CE37F3"/>
    <w:rsid w:val="57513011"/>
    <w:rsid w:val="58EB36CF"/>
    <w:rsid w:val="5A47702B"/>
    <w:rsid w:val="5AD707BD"/>
    <w:rsid w:val="5B3524F6"/>
    <w:rsid w:val="5B52637A"/>
    <w:rsid w:val="5B897898"/>
    <w:rsid w:val="5CAF5DA1"/>
    <w:rsid w:val="5CDE306E"/>
    <w:rsid w:val="5D7B64BE"/>
    <w:rsid w:val="63240F67"/>
    <w:rsid w:val="66ED3F8F"/>
    <w:rsid w:val="67896DDF"/>
    <w:rsid w:val="69BC2763"/>
    <w:rsid w:val="6A2D3898"/>
    <w:rsid w:val="6A731E9C"/>
    <w:rsid w:val="6CEF1CA7"/>
    <w:rsid w:val="6E366386"/>
    <w:rsid w:val="6E590F70"/>
    <w:rsid w:val="6FA77F87"/>
    <w:rsid w:val="70681577"/>
    <w:rsid w:val="707D334E"/>
    <w:rsid w:val="71597F6F"/>
    <w:rsid w:val="71C01E3F"/>
    <w:rsid w:val="721F0D77"/>
    <w:rsid w:val="7399224D"/>
    <w:rsid w:val="73ED07EB"/>
    <w:rsid w:val="744D712F"/>
    <w:rsid w:val="74812CF0"/>
    <w:rsid w:val="75A849CA"/>
    <w:rsid w:val="75C66E24"/>
    <w:rsid w:val="76C3414B"/>
    <w:rsid w:val="78911745"/>
    <w:rsid w:val="78C01B29"/>
    <w:rsid w:val="78FB10F4"/>
    <w:rsid w:val="7A4B1DC7"/>
    <w:rsid w:val="7B7C2F85"/>
    <w:rsid w:val="7E0230E5"/>
    <w:rsid w:val="7F20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34" w:line="259" w:lineRule="auto"/>
      <w:ind w:left="10" w:hanging="10"/>
    </w:pPr>
    <w:rPr>
      <w:rFonts w:ascii="仿宋" w:hAnsi="仿宋" w:eastAsia="仿宋" w:cs="仿宋"/>
      <w:color w:val="000000"/>
      <w:kern w:val="2"/>
      <w:sz w:val="32"/>
      <w:szCs w:val="22"/>
      <w:lang w:val="en-US" w:eastAsia="zh-CN" w:bidi="ar-SA"/>
    </w:rPr>
  </w:style>
  <w:style w:type="paragraph" w:styleId="2">
    <w:name w:val="heading 1"/>
    <w:next w:val="1"/>
    <w:link w:val="14"/>
    <w:unhideWhenUsed/>
    <w:qFormat/>
    <w:uiPriority w:val="9"/>
    <w:pPr>
      <w:keepNext/>
      <w:keepLines/>
      <w:spacing w:after="21" w:line="259" w:lineRule="auto"/>
      <w:ind w:left="10" w:right="163" w:hanging="10"/>
      <w:jc w:val="center"/>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style>
  <w:style w:type="paragraph" w:styleId="5">
    <w:name w:val="Balloon Text"/>
    <w:basedOn w:val="1"/>
    <w:link w:val="16"/>
    <w:semiHidden/>
    <w:unhideWhenUsed/>
    <w:qFormat/>
    <w:uiPriority w:val="99"/>
    <w:pPr>
      <w:spacing w:after="0"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Autospacing="1" w:after="0" w:afterAutospacing="1"/>
      <w:ind w:left="0"/>
    </w:pPr>
    <w:rPr>
      <w:rFonts w:cs="Times New Roman"/>
      <w:kern w:val="0"/>
      <w:sz w:val="24"/>
    </w:rPr>
  </w:style>
  <w:style w:type="paragraph" w:styleId="9">
    <w:name w:val="annotation subject"/>
    <w:basedOn w:val="4"/>
    <w:next w:val="4"/>
    <w:link w:val="21"/>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color w:val="000000"/>
      <w:sz w:val="44"/>
    </w:rPr>
  </w:style>
  <w:style w:type="character" w:customStyle="1" w:styleId="15">
    <w:name w:val="标题 2 字符"/>
    <w:basedOn w:val="11"/>
    <w:link w:val="3"/>
    <w:semiHidden/>
    <w:qFormat/>
    <w:uiPriority w:val="9"/>
    <w:rPr>
      <w:rFonts w:asciiTheme="majorHAnsi" w:hAnsiTheme="majorHAnsi" w:eastAsiaTheme="majorEastAsia" w:cstheme="majorBidi"/>
      <w:b/>
      <w:bCs/>
      <w:color w:val="000000"/>
      <w:sz w:val="32"/>
      <w:szCs w:val="32"/>
    </w:rPr>
  </w:style>
  <w:style w:type="character" w:customStyle="1" w:styleId="16">
    <w:name w:val="批注框文本 字符"/>
    <w:basedOn w:val="11"/>
    <w:link w:val="5"/>
    <w:semiHidden/>
    <w:qFormat/>
    <w:uiPriority w:val="99"/>
    <w:rPr>
      <w:rFonts w:ascii="仿宋" w:hAnsi="仿宋" w:eastAsia="仿宋" w:cs="仿宋"/>
      <w:color w:val="000000"/>
      <w:sz w:val="18"/>
      <w:szCs w:val="18"/>
    </w:rPr>
  </w:style>
  <w:style w:type="paragraph" w:styleId="17">
    <w:name w:val="List Paragraph"/>
    <w:basedOn w:val="1"/>
    <w:qFormat/>
    <w:uiPriority w:val="99"/>
    <w:pPr>
      <w:ind w:firstLine="420" w:firstLineChars="200"/>
    </w:pPr>
  </w:style>
  <w:style w:type="character" w:customStyle="1" w:styleId="18">
    <w:name w:val="页眉 字符"/>
    <w:basedOn w:val="11"/>
    <w:link w:val="7"/>
    <w:qFormat/>
    <w:uiPriority w:val="99"/>
    <w:rPr>
      <w:rFonts w:ascii="仿宋" w:hAnsi="仿宋" w:eastAsia="仿宋" w:cs="仿宋"/>
      <w:color w:val="000000"/>
      <w:kern w:val="2"/>
      <w:sz w:val="18"/>
      <w:szCs w:val="18"/>
    </w:rPr>
  </w:style>
  <w:style w:type="character" w:customStyle="1" w:styleId="19">
    <w:name w:val="页脚 字符"/>
    <w:basedOn w:val="11"/>
    <w:link w:val="6"/>
    <w:qFormat/>
    <w:uiPriority w:val="99"/>
    <w:rPr>
      <w:rFonts w:ascii="仿宋" w:hAnsi="仿宋" w:eastAsia="仿宋" w:cs="仿宋"/>
      <w:color w:val="000000"/>
      <w:kern w:val="2"/>
      <w:sz w:val="18"/>
      <w:szCs w:val="18"/>
    </w:rPr>
  </w:style>
  <w:style w:type="character" w:customStyle="1" w:styleId="20">
    <w:name w:val="批注文字 字符"/>
    <w:basedOn w:val="11"/>
    <w:link w:val="4"/>
    <w:semiHidden/>
    <w:qFormat/>
    <w:uiPriority w:val="99"/>
    <w:rPr>
      <w:rFonts w:ascii="仿宋" w:hAnsi="仿宋" w:eastAsia="仿宋" w:cs="仿宋"/>
      <w:color w:val="000000"/>
      <w:kern w:val="2"/>
      <w:sz w:val="32"/>
      <w:szCs w:val="22"/>
    </w:rPr>
  </w:style>
  <w:style w:type="character" w:customStyle="1" w:styleId="21">
    <w:name w:val="批注主题 字符"/>
    <w:basedOn w:val="20"/>
    <w:link w:val="9"/>
    <w:semiHidden/>
    <w:qFormat/>
    <w:uiPriority w:val="99"/>
    <w:rPr>
      <w:rFonts w:ascii="仿宋" w:hAnsi="仿宋" w:eastAsia="仿宋" w:cs="仿宋"/>
      <w:b/>
      <w:bCs/>
      <w:color w:val="000000"/>
      <w:kern w:val="2"/>
      <w:sz w:val="32"/>
      <w:szCs w:val="22"/>
    </w:rPr>
  </w:style>
  <w:style w:type="character" w:customStyle="1" w:styleId="22">
    <w:name w:val="text_zapiw"/>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hhs</Company>
  <Pages>7</Pages>
  <Words>3298</Words>
  <Characters>3466</Characters>
  <Lines>25</Lines>
  <Paragraphs>7</Paragraphs>
  <TotalTime>1</TotalTime>
  <ScaleCrop>false</ScaleCrop>
  <LinksUpToDate>false</LinksUpToDate>
  <CharactersWithSpaces>3475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2025-12-30T10:18:00Z</dcterms:created>
  <dc:creator>shanjuan</dc:creator>
  <cp:lastModifiedBy>win10</cp:lastModifiedBy>
  <cp:lastPrinted>2024-12-03T00:57:00Z</cp:lastPrinted>
  <dcterms:modified xsi:type="dcterms:W3CDTF">2026-04-18T15:08:17Z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3B06DAE6BF3946A48452F8D309F3F6B0</vt:lpwstr>
  </property>
  <property fmtid="{D5CDD505-2E9C-101B-9397-08002B2CF9AE}" pid="4" name="KSOTemplateDocerSaveRecord">
    <vt:lpwstr>eyJoZGlkIjoiNGZhNzU0NmJiOGUyNWQ4NzI2YjhkNzA1MTdmMmUwZDAiLCJ1c2VySWQiOiI4NjUwNzI3NDgifQ==</vt:lpwstr>
  </property>
</Properties>
</file>