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default" w:ascii="仿宋_GB2312" w:hAnsi="Times New Roman" w:eastAsia="仿宋_GB2312" w:cs="Times New Roman"/>
          <w:b/>
          <w:sz w:val="30"/>
          <w:szCs w:val="30"/>
          <w:lang w:val="en-US" w:eastAsia="zh-CN"/>
        </w:rPr>
      </w:pPr>
      <w:r>
        <w:rPr>
          <w:rFonts w:hint="eastAsia" w:ascii="仿宋_GB2312" w:hAnsi="Times New Roman" w:eastAsia="仿宋_GB2312" w:cs="Times New Roman"/>
          <w:b/>
          <w:sz w:val="44"/>
          <w:szCs w:val="44"/>
          <w:lang w:val="en-US" w:eastAsia="zh-CN"/>
        </w:rPr>
        <w:t>招聘岗位条件</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023"/>
        <w:gridCol w:w="992"/>
        <w:gridCol w:w="1134"/>
        <w:gridCol w:w="2191"/>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spacing w:line="500" w:lineRule="exact"/>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岗位</w:t>
            </w:r>
          </w:p>
          <w:p>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名称</w:t>
            </w:r>
          </w:p>
        </w:tc>
        <w:tc>
          <w:tcPr>
            <w:tcW w:w="1023" w:type="dxa"/>
          </w:tcPr>
          <w:p>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招聘  人数</w:t>
            </w:r>
          </w:p>
        </w:tc>
        <w:tc>
          <w:tcPr>
            <w:tcW w:w="992" w:type="dxa"/>
          </w:tcPr>
          <w:p>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学历  要求</w:t>
            </w:r>
          </w:p>
        </w:tc>
        <w:tc>
          <w:tcPr>
            <w:tcW w:w="1134" w:type="dxa"/>
          </w:tcPr>
          <w:p>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专业  要求</w:t>
            </w:r>
          </w:p>
        </w:tc>
        <w:tc>
          <w:tcPr>
            <w:tcW w:w="2191" w:type="dxa"/>
          </w:tcPr>
          <w:p>
            <w:pPr>
              <w:spacing w:line="500" w:lineRule="exact"/>
              <w:jc w:val="center"/>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rPr>
              <w:t>资格证书</w:t>
            </w:r>
            <w:r>
              <w:rPr>
                <w:rFonts w:hint="eastAsia" w:ascii="仿宋_GB2312" w:hAnsi="Times New Roman" w:eastAsia="仿宋_GB2312" w:cs="Times New Roman"/>
                <w:sz w:val="30"/>
                <w:szCs w:val="30"/>
                <w:lang w:val="en-US" w:eastAsia="zh-CN"/>
              </w:rPr>
              <w:t>及岗位要求</w:t>
            </w:r>
          </w:p>
        </w:tc>
        <w:tc>
          <w:tcPr>
            <w:tcW w:w="1574" w:type="dxa"/>
          </w:tcPr>
          <w:p>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其他  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6" w:hRule="atLeast"/>
        </w:trPr>
        <w:tc>
          <w:tcPr>
            <w:tcW w:w="1382" w:type="dxa"/>
          </w:tcPr>
          <w:p>
            <w:pPr>
              <w:keepNext w:val="0"/>
              <w:keepLines w:val="0"/>
              <w:pageBreakBefore w:val="0"/>
              <w:widowControl w:val="0"/>
              <w:kinsoku/>
              <w:wordWrap/>
              <w:overflowPunct/>
              <w:topLinePunct w:val="0"/>
              <w:autoSpaceDE/>
              <w:autoSpaceDN/>
              <w:bidi w:val="0"/>
              <w:adjustRightInd/>
              <w:snapToGrid/>
              <w:spacing w:before="1561" w:beforeLines="500" w:line="1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120医师</w:t>
            </w:r>
          </w:p>
        </w:tc>
        <w:tc>
          <w:tcPr>
            <w:tcW w:w="1023" w:type="dxa"/>
          </w:tcPr>
          <w:p>
            <w:pPr>
              <w:keepNext w:val="0"/>
              <w:keepLines w:val="0"/>
              <w:pageBreakBefore w:val="0"/>
              <w:widowControl w:val="0"/>
              <w:kinsoku/>
              <w:wordWrap/>
              <w:overflowPunct/>
              <w:topLinePunct w:val="0"/>
              <w:autoSpaceDE/>
              <w:autoSpaceDN/>
              <w:bidi w:val="0"/>
              <w:adjustRightInd/>
              <w:snapToGrid/>
              <w:spacing w:before="1561" w:beforeLines="500" w:line="1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2</w:t>
            </w:r>
            <w:r>
              <w:rPr>
                <w:rFonts w:hint="eastAsia" w:ascii="仿宋_GB2312" w:hAnsi="Times New Roman" w:eastAsia="仿宋_GB2312" w:cs="Times New Roman"/>
                <w:sz w:val="30"/>
                <w:szCs w:val="30"/>
              </w:rPr>
              <w:t>人</w:t>
            </w:r>
          </w:p>
        </w:tc>
        <w:tc>
          <w:tcPr>
            <w:tcW w:w="992" w:type="dxa"/>
          </w:tcPr>
          <w:p>
            <w:pPr>
              <w:keepNext w:val="0"/>
              <w:keepLines w:val="0"/>
              <w:pageBreakBefore w:val="0"/>
              <w:widowControl w:val="0"/>
              <w:kinsoku/>
              <w:wordWrap/>
              <w:overflowPunct/>
              <w:topLinePunct w:val="0"/>
              <w:autoSpaceDE/>
              <w:autoSpaceDN/>
              <w:bidi w:val="0"/>
              <w:adjustRightInd/>
              <w:snapToGrid/>
              <w:spacing w:before="1873" w:beforeLines="6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大专及以上</w:t>
            </w:r>
          </w:p>
        </w:tc>
        <w:tc>
          <w:tcPr>
            <w:tcW w:w="1134" w:type="dxa"/>
          </w:tcPr>
          <w:p>
            <w:pPr>
              <w:keepNext w:val="0"/>
              <w:keepLines w:val="0"/>
              <w:pageBreakBefore w:val="0"/>
              <w:widowControl w:val="0"/>
              <w:kinsoku/>
              <w:wordWrap/>
              <w:overflowPunct/>
              <w:topLinePunct w:val="0"/>
              <w:autoSpaceDE/>
              <w:autoSpaceDN/>
              <w:bidi w:val="0"/>
              <w:adjustRightInd/>
              <w:snapToGrid/>
              <w:spacing w:before="1873" w:beforeLines="600" w:line="4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临床医学、急诊医学、中医学</w:t>
            </w:r>
          </w:p>
        </w:tc>
        <w:tc>
          <w:tcPr>
            <w:tcW w:w="219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持有《医师资格证书》《执业医师证》</w:t>
            </w:r>
            <w:bookmarkStart w:id="0" w:name="OLE_LINK1"/>
            <w:r>
              <w:rPr>
                <w:rFonts w:hint="eastAsia" w:ascii="仿宋_GB2312" w:hAnsi="Times New Roman" w:eastAsia="仿宋_GB2312" w:cs="Times New Roman"/>
                <w:sz w:val="30"/>
                <w:szCs w:val="30"/>
              </w:rPr>
              <w:t>《院前急救培训合格证》</w:t>
            </w:r>
            <w:bookmarkEnd w:id="0"/>
            <w:r>
              <w:rPr>
                <w:rFonts w:hint="eastAsia" w:ascii="仿宋_GB2312" w:hAnsi="Times New Roman" w:eastAsia="仿宋_GB2312" w:cs="Times New Roman"/>
                <w:sz w:val="30"/>
                <w:szCs w:val="30"/>
              </w:rPr>
              <w:t>；执业范围：急诊医学、全科医学或相关专业（已注册或可变更注册）；熟练掌握急救操作（ACLS、创伤高级生命支持等）；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无不良执业记录，医德医风良好。</w:t>
            </w:r>
          </w:p>
        </w:tc>
        <w:tc>
          <w:tcPr>
            <w:tcW w:w="1574" w:type="dxa"/>
          </w:tcPr>
          <w:p>
            <w:pPr>
              <w:keepNext w:val="0"/>
              <w:keepLines w:val="0"/>
              <w:pageBreakBefore w:val="0"/>
              <w:widowControl w:val="0"/>
              <w:kinsoku/>
              <w:wordWrap/>
              <w:overflowPunct/>
              <w:topLinePunct w:val="0"/>
              <w:autoSpaceDE/>
              <w:autoSpaceDN/>
              <w:bidi w:val="0"/>
              <w:adjustRightInd/>
              <w:snapToGrid/>
              <w:spacing w:before="937" w:beforeLines="300" w:line="4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具备</w:t>
            </w:r>
            <w:r>
              <w:rPr>
                <w:rFonts w:hint="eastAsia" w:ascii="仿宋_GB2312" w:hAnsi="Times New Roman" w:eastAsia="仿宋_GB2312" w:cs="Times New Roman"/>
                <w:sz w:val="30"/>
                <w:szCs w:val="30"/>
                <w:lang w:val="en-US" w:eastAsia="zh-CN"/>
              </w:rPr>
              <w:t>1</w:t>
            </w:r>
            <w:r>
              <w:rPr>
                <w:rFonts w:hint="eastAsia" w:ascii="仿宋_GB2312" w:hAnsi="Times New Roman" w:eastAsia="仿宋_GB2312" w:cs="Times New Roman"/>
                <w:sz w:val="30"/>
                <w:szCs w:val="30"/>
              </w:rPr>
              <w:t>年以上急诊科、ICU或院前急救工作经验者优先。</w:t>
            </w:r>
          </w:p>
          <w:p>
            <w:pPr>
              <w:keepNext w:val="0"/>
              <w:keepLines w:val="0"/>
              <w:pageBreakBefore w:val="0"/>
              <w:widowControl w:val="0"/>
              <w:kinsoku/>
              <w:wordWrap/>
              <w:overflowPunct/>
              <w:topLinePunct w:val="0"/>
              <w:autoSpaceDE/>
              <w:autoSpaceDN/>
              <w:bidi w:val="0"/>
              <w:adjustRightInd/>
              <w:snapToGrid/>
              <w:spacing w:before="937" w:beforeLines="300" w:line="400" w:lineRule="exact"/>
              <w:jc w:val="left"/>
              <w:textAlignment w:val="auto"/>
              <w:rPr>
                <w:rFonts w:hint="eastAsia" w:ascii="仿宋_GB2312"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3" w:hRule="atLeast"/>
        </w:trPr>
        <w:tc>
          <w:tcPr>
            <w:tcW w:w="1382" w:type="dxa"/>
          </w:tcPr>
          <w:p>
            <w:pPr>
              <w:spacing w:before="1560" w:beforeLines="500" w:line="400" w:lineRule="exact"/>
              <w:jc w:val="center"/>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rPr>
              <w:t>放射  医师</w:t>
            </w:r>
          </w:p>
        </w:tc>
        <w:tc>
          <w:tcPr>
            <w:tcW w:w="1023" w:type="dxa"/>
          </w:tcPr>
          <w:p>
            <w:pPr>
              <w:spacing w:before="936" w:beforeLines="300" w:line="1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1人</w:t>
            </w:r>
          </w:p>
        </w:tc>
        <w:tc>
          <w:tcPr>
            <w:tcW w:w="992" w:type="dxa"/>
          </w:tcPr>
          <w:p>
            <w:pPr>
              <w:spacing w:before="936" w:beforeLines="300"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本科及以上</w:t>
            </w:r>
          </w:p>
        </w:tc>
        <w:tc>
          <w:tcPr>
            <w:tcW w:w="1134" w:type="dxa"/>
          </w:tcPr>
          <w:p>
            <w:pPr>
              <w:spacing w:before="936" w:beforeLines="300" w:line="400" w:lineRule="exact"/>
              <w:jc w:val="center"/>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rPr>
              <w:t>临床医学类（影像医学与核医学专业方向）</w:t>
            </w:r>
          </w:p>
        </w:tc>
        <w:tc>
          <w:tcPr>
            <w:tcW w:w="2191" w:type="dxa"/>
          </w:tcPr>
          <w:p>
            <w:pPr>
              <w:spacing w:line="4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具有相应医师资格证书、执业证书（医学影像和放射治疗执业范围）；2012年及以后全日制本科及以上学历毕业人员应具有住院医师规范化培训合格证书。</w:t>
            </w:r>
          </w:p>
        </w:tc>
        <w:tc>
          <w:tcPr>
            <w:tcW w:w="1574" w:type="dxa"/>
          </w:tcPr>
          <w:p>
            <w:pPr>
              <w:spacing w:before="624" w:beforeLines="2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有综合医院相关科室工作经历者优先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学科带头人（中医科）</w:t>
            </w:r>
          </w:p>
        </w:tc>
        <w:tc>
          <w:tcPr>
            <w:tcW w:w="1023" w:type="dxa"/>
            <w:vAlign w:val="top"/>
          </w:tcPr>
          <w:p>
            <w:pPr>
              <w:keepNext w:val="0"/>
              <w:keepLines w:val="0"/>
              <w:pageBreakBefore w:val="0"/>
              <w:widowControl w:val="0"/>
              <w:kinsoku/>
              <w:wordWrap/>
              <w:overflowPunct/>
              <w:topLinePunct w:val="0"/>
              <w:autoSpaceDE/>
              <w:autoSpaceDN/>
              <w:bidi w:val="0"/>
              <w:adjustRightInd/>
              <w:snapToGrid/>
              <w:spacing w:before="2185" w:beforeLines="7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1人</w:t>
            </w:r>
          </w:p>
        </w:tc>
        <w:tc>
          <w:tcPr>
            <w:tcW w:w="992" w:type="dxa"/>
            <w:vAlign w:val="top"/>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本科及以上</w:t>
            </w:r>
          </w:p>
        </w:tc>
        <w:tc>
          <w:tcPr>
            <w:tcW w:w="1134"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中医学等相关专业</w:t>
            </w:r>
          </w:p>
        </w:tc>
        <w:tc>
          <w:tcPr>
            <w:tcW w:w="2191" w:type="dxa"/>
          </w:tcPr>
          <w:p>
            <w:pPr>
              <w:numPr>
                <w:ilvl w:val="0"/>
                <w:numId w:val="1"/>
              </w:numPr>
              <w:spacing w:line="500" w:lineRule="exact"/>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具有副主任医师以上职业资格</w:t>
            </w:r>
          </w:p>
          <w:p>
            <w:pPr>
              <w:numPr>
                <w:numId w:val="0"/>
              </w:numPr>
              <w:spacing w:line="500" w:lineRule="exact"/>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2.中医科医学领域中具</w:t>
            </w:r>
            <w:bookmarkStart w:id="2" w:name="_GoBack"/>
            <w:bookmarkEnd w:id="2"/>
            <w:r>
              <w:rPr>
                <w:rFonts w:hint="eastAsia" w:ascii="仿宋_GB2312" w:hAnsi="Times New Roman" w:eastAsia="仿宋_GB2312" w:cs="Times New Roman"/>
                <w:sz w:val="30"/>
                <w:szCs w:val="30"/>
                <w:lang w:val="en-US" w:eastAsia="zh-CN"/>
              </w:rPr>
              <w:t>有较高的学术地位和知名度。</w:t>
            </w:r>
          </w:p>
          <w:p>
            <w:pPr>
              <w:numPr>
                <w:ilvl w:val="0"/>
                <w:numId w:val="0"/>
              </w:numPr>
              <w:spacing w:line="500" w:lineRule="exact"/>
              <w:jc w:val="left"/>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3.具有较强的管理及科研能力，10年以上二、三级医院中医临床工作经验，5年以上科室管理经验；熟悉医院运营管理模式和学科发展规律。</w:t>
            </w:r>
          </w:p>
        </w:tc>
        <w:tc>
          <w:tcPr>
            <w:tcW w:w="1574"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年龄原则上不超过50周岁，特别优秀者年龄可适当放宽。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1382" w:type="dxa"/>
          </w:tcPr>
          <w:p>
            <w:pPr>
              <w:spacing w:line="30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B超医师</w:t>
            </w:r>
          </w:p>
        </w:tc>
        <w:tc>
          <w:tcPr>
            <w:tcW w:w="1023" w:type="dxa"/>
          </w:tcPr>
          <w:p>
            <w:pPr>
              <w:spacing w:line="30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1人</w:t>
            </w:r>
          </w:p>
        </w:tc>
        <w:tc>
          <w:tcPr>
            <w:tcW w:w="992" w:type="dxa"/>
          </w:tcPr>
          <w:p>
            <w:pPr>
              <w:spacing w:before="1248" w:beforeLines="400"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本科及以上</w:t>
            </w:r>
          </w:p>
        </w:tc>
        <w:tc>
          <w:tcPr>
            <w:tcW w:w="1134" w:type="dxa"/>
          </w:tcPr>
          <w:p>
            <w:pPr>
              <w:spacing w:before="936" w:beforeLines="300" w:line="4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临床医学类（影像医学与核医学专业方向）</w:t>
            </w:r>
          </w:p>
        </w:tc>
        <w:tc>
          <w:tcPr>
            <w:tcW w:w="219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具有相应医师资格证书、执业证书（医学影像和放射治疗执业范围）；2012年及以后全日制本科及以上学历毕业人员应具有住院医师规范化培训合格证书。</w:t>
            </w:r>
          </w:p>
        </w:tc>
        <w:tc>
          <w:tcPr>
            <w:tcW w:w="1574" w:type="dxa"/>
          </w:tcPr>
          <w:p>
            <w:pPr>
              <w:spacing w:before="1248" w:beforeLines="4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有</w:t>
            </w:r>
            <w:r>
              <w:rPr>
                <w:rFonts w:hint="eastAsia" w:ascii="仿宋_GB2312" w:hAnsi="Times New Roman" w:eastAsia="仿宋_GB2312" w:cs="Times New Roman"/>
                <w:sz w:val="30"/>
                <w:szCs w:val="30"/>
                <w:lang w:val="en-US" w:eastAsia="zh-CN"/>
              </w:rPr>
              <w:t>2年</w:t>
            </w:r>
            <w:r>
              <w:rPr>
                <w:rFonts w:hint="eastAsia" w:ascii="仿宋_GB2312" w:hAnsi="Times New Roman" w:eastAsia="仿宋_GB2312" w:cs="Times New Roman"/>
                <w:sz w:val="30"/>
                <w:szCs w:val="30"/>
              </w:rPr>
              <w:t>超声诊断工作经验者优先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both"/>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收费员</w:t>
            </w:r>
          </w:p>
        </w:tc>
        <w:tc>
          <w:tcPr>
            <w:tcW w:w="1023"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w:t>
            </w:r>
          </w:p>
        </w:tc>
        <w:tc>
          <w:tcPr>
            <w:tcW w:w="99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bookmarkStart w:id="1" w:name="OLE_LINK4"/>
            <w:r>
              <w:rPr>
                <w:rFonts w:hint="eastAsia" w:ascii="仿宋_GB2312" w:hAnsi="Times New Roman" w:eastAsia="仿宋_GB2312" w:cs="Times New Roman"/>
                <w:sz w:val="30"/>
                <w:szCs w:val="30"/>
                <w:lang w:val="en-US" w:eastAsia="zh-CN"/>
              </w:rPr>
              <w:t>大专及以上</w:t>
            </w:r>
            <w:bookmarkEnd w:id="1"/>
          </w:p>
        </w:tc>
        <w:tc>
          <w:tcPr>
            <w:tcW w:w="1134"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财务会计、卫生信息管理、医学相关专业优先</w:t>
            </w:r>
          </w:p>
        </w:tc>
        <w:tc>
          <w:tcPr>
            <w:tcW w:w="2191"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主要负责患者的挂号、收费工作，准确录入患者信息，熟练操作医院收费管理系统；每日完成收费账目核对、结算工作，整理当日收入凭证，按规定上缴至财务部门维护挂号收费窗口的就诊秩序；</w:t>
            </w:r>
            <w:r>
              <w:rPr>
                <w:rFonts w:hint="default" w:ascii="仿宋_GB2312" w:hAnsi="Times New Roman" w:eastAsia="仿宋_GB2312" w:cs="Times New Roman"/>
                <w:sz w:val="30"/>
                <w:szCs w:val="30"/>
                <w:lang w:val="en-US" w:eastAsia="zh-CN"/>
              </w:rPr>
              <w:t>配合财务部门完成收费数据统计、报表报送等工作，完成领导交办的其他临时性任务</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lang w:val="en-US" w:eastAsia="zh-CN"/>
              </w:rPr>
            </w:pPr>
          </w:p>
        </w:tc>
        <w:tc>
          <w:tcPr>
            <w:tcW w:w="157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年龄在35周岁以下，身体健康，能适应窗口岗位长时间工作要求；有医疗机构收费、财务出纳工作经验，或持有初级会计职称者优先；</w:t>
            </w:r>
            <w:r>
              <w:rPr>
                <w:rFonts w:hint="default" w:ascii="仿宋_GB2312" w:hAnsi="Times New Roman" w:eastAsia="仿宋_GB2312" w:cs="Times New Roman"/>
                <w:sz w:val="30"/>
                <w:szCs w:val="30"/>
                <w:lang w:val="en-US" w:eastAsia="zh-CN"/>
              </w:rPr>
              <w:t>具有良好的沟通协调能力和应急处理能力，能妥善应对窗口服务中的各类突发情况。</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lang w:val="en-US" w:eastAsia="zh-CN"/>
              </w:rPr>
            </w:pPr>
          </w:p>
        </w:tc>
      </w:tr>
    </w:tbl>
    <w:p>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02919A"/>
    <w:multiLevelType w:val="singleLevel"/>
    <w:tmpl w:val="9802919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21E20"/>
    <w:rsid w:val="050E22B0"/>
    <w:rsid w:val="1F243012"/>
    <w:rsid w:val="4D2737BB"/>
    <w:rsid w:val="60FC24EB"/>
    <w:rsid w:val="63221E20"/>
    <w:rsid w:val="6FDF4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2025-09-08T10:29:00Z</dcterms:created>
  <dc:creator>AAAA</dc:creator>
  <cp:lastModifiedBy>AAAA</cp:lastModifiedBy>
  <dcterms:modified xsi:type="dcterms:W3CDTF">2026-05-12T07:55:20Z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