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1609AF"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：</w:t>
      </w:r>
    </w:p>
    <w:p w14:paraId="1DF7F3E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  <w:lang w:val="en-US" w:eastAsia="zh-CN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</w:rPr>
        <w:t>政府专职消防员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  <w:lang w:eastAsia="zh-CN"/>
        </w:rPr>
        <w:t>、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  <w:lang w:val="en-US" w:eastAsia="zh-CN"/>
        </w:rPr>
        <w:t>消防文员体能项目和岗位适应性测试</w:t>
      </w:r>
    </w:p>
    <w:p w14:paraId="22F926C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right="0" w:firstLine="0"/>
        <w:jc w:val="center"/>
        <w:textAlignment w:val="auto"/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  <w:lang w:val="en-US" w:eastAsia="zh-CN"/>
        </w:rPr>
        <w:t>项目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highlight w:val="none"/>
        </w:rPr>
        <w:t>测试评分标准</w:t>
      </w:r>
    </w:p>
    <w:bookmarkEnd w:id="0"/>
    <w:p w14:paraId="31E928A1">
      <w:pPr>
        <w:jc w:val="center"/>
        <w:rPr>
          <w:rFonts w:hint="default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drawing>
          <wp:inline distT="0" distB="0" distL="114300" distR="114300">
            <wp:extent cx="5869305" cy="2339975"/>
            <wp:effectExtent l="0" t="0" r="10795" b="9525"/>
            <wp:docPr id="3" name="图片 1" descr="1500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500米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79974">
      <w:pPr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drawing>
          <wp:inline distT="0" distB="0" distL="114300" distR="114300">
            <wp:extent cx="5760085" cy="2339975"/>
            <wp:effectExtent l="0" t="0" r="5715" b="9525"/>
            <wp:docPr id="4" name="图片 2" descr="俯卧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俯卧撑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95C4F">
      <w:pPr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drawing>
          <wp:inline distT="0" distB="0" distL="114300" distR="114300">
            <wp:extent cx="5760085" cy="2339975"/>
            <wp:effectExtent l="0" t="0" r="5715" b="9525"/>
            <wp:docPr id="5" name="图片 3" descr="仰卧起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仰卧起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C582">
      <w:pPr>
        <w:pStyle w:val="5"/>
        <w:rPr>
          <w:rFonts w:hint="eastAsia" w:eastAsiaTheme="minorEastAsia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drawing>
          <wp:inline distT="0" distB="0" distL="114300" distR="114300">
            <wp:extent cx="5760085" cy="2710815"/>
            <wp:effectExtent l="0" t="0" r="5715" b="6985"/>
            <wp:docPr id="6" name="图片 4" descr="女子800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女子800米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492DD">
      <w:pPr>
        <w:rPr>
          <w:rFonts w:hint="eastAsia"/>
          <w:lang w:eastAsia="zh-CN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drawing>
          <wp:inline distT="0" distB="0" distL="114300" distR="114300">
            <wp:extent cx="5760085" cy="2647315"/>
            <wp:effectExtent l="0" t="0" r="5715" b="6985"/>
            <wp:docPr id="7" name="图片 5" descr="女子仰卧起坐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女子仰卧起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57D10">
      <w:pPr>
        <w:rPr>
          <w:rFonts w:eastAsia="黑体"/>
          <w:sz w:val="32"/>
          <w:szCs w:val="32"/>
        </w:rPr>
      </w:pPr>
      <w:r>
        <w:rPr>
          <w:rFonts w:hint="default" w:ascii="Times New Roman" w:hAnsi="Times New Roman" w:eastAsia="宋体" w:cs="Times New Roman"/>
          <w:highlight w:val="none"/>
          <w:lang w:eastAsia="zh-CN"/>
        </w:rPr>
        <w:drawing>
          <wp:inline distT="0" distB="0" distL="114300" distR="114300">
            <wp:extent cx="5760085" cy="2583815"/>
            <wp:effectExtent l="0" t="0" r="5715" b="6985"/>
            <wp:docPr id="8" name="图片 6" descr="女子跳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女子跳绳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50E60">
      <w:pPr>
        <w:snapToGrid w:val="0"/>
        <w:spacing w:line="600" w:lineRule="exact"/>
        <w:ind w:firstLine="640" w:firstLineChars="200"/>
        <w:jc w:val="center"/>
        <w:rPr>
          <w:rFonts w:hint="default" w:ascii="Times New Roman" w:hAnsi="Times New Roman" w:eastAsia="黑体" w:cs="Times New Roman"/>
          <w:sz w:val="32"/>
          <w:szCs w:val="32"/>
          <w:highlight w:val="none"/>
        </w:rPr>
      </w:pPr>
    </w:p>
    <w:p w14:paraId="4741816C">
      <w:pPr>
        <w:snapToGrid w:val="0"/>
        <w:spacing w:line="600" w:lineRule="exact"/>
        <w:ind w:firstLine="640" w:firstLineChars="200"/>
        <w:jc w:val="center"/>
        <w:rPr>
          <w:rFonts w:hint="default" w:ascii="Times New Roman" w:hAnsi="Times New Roman" w:eastAsia="黑体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</w:rPr>
        <w:t>原地攀登六米拉梯</w:t>
      </w:r>
    </w:p>
    <w:p w14:paraId="1EC73881">
      <w:pPr>
        <w:snapToGrid w:val="0"/>
        <w:spacing w:line="600" w:lineRule="exact"/>
        <w:ind w:firstLine="643" w:firstLineChars="200"/>
        <w:rPr>
          <w:rFonts w:hint="eastAsia" w:ascii="方正楷体_GBK" w:hAnsi="方正楷体_GBK" w:eastAsia="方正楷体_GBK" w:cs="方正楷体_GBK"/>
          <w:sz w:val="32"/>
          <w:szCs w:val="32"/>
          <w:highlight w:val="none"/>
        </w:rPr>
      </w:pPr>
      <w:r>
        <w:rPr>
          <w:rFonts w:hint="eastAsia" w:ascii="方正楷体_GBK" w:hAnsi="方正楷体_GBK" w:eastAsia="方正楷体_GBK" w:cs="方正楷体_GBK"/>
          <w:b/>
          <w:sz w:val="32"/>
          <w:szCs w:val="32"/>
          <w:highlight w:val="none"/>
        </w:rPr>
        <w:t>（一）场地设置</w:t>
      </w:r>
    </w:p>
    <w:p w14:paraId="35C7BE77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楷体_GB2312" w:cs="Times New Roman"/>
          <w:b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在距离训练塔前5米标出集合线，1.3米处标出起点线，0.8米至1.3米为架梯区，训练塔上架设6米拉梯1架（拉梯上端超过窗台2个梯蹬）。</w:t>
      </w:r>
    </w:p>
    <w:p w14:paraId="100DC7D0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594360</wp:posOffset>
            </wp:positionH>
            <wp:positionV relativeFrom="paragraph">
              <wp:posOffset>27940</wp:posOffset>
            </wp:positionV>
            <wp:extent cx="3945890" cy="2663190"/>
            <wp:effectExtent l="0" t="0" r="3810" b="3810"/>
            <wp:wrapTopAndBottom/>
            <wp:docPr id="9" name="图片 9" descr="截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图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4589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（二）操作程序</w:t>
      </w:r>
    </w:p>
    <w:p w14:paraId="4341B6C5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穿着全套消防员灭火防护装具在起点线处做好准备（系好安全保护绳），听到“开始”的口令，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从六米拉梯第2蹬逐级攀登进入二楼平台，双脚落在二楼地板后喊“好”。</w:t>
      </w:r>
    </w:p>
    <w:p w14:paraId="23CA1E2A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（三）操作要求</w:t>
      </w:r>
    </w:p>
    <w:p w14:paraId="59CFBF84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1.灭火防护服裤腿及衣袖不得挽起，防护靴不得采取任何措施与灭火防护服裤子或腿部固定，防护靴上沿不得外翻。</w:t>
      </w:r>
    </w:p>
    <w:p w14:paraId="675D54F9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2.操作前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身体任何部位不得接触拉梯。</w:t>
      </w:r>
    </w:p>
    <w:p w14:paraId="2C3DE70D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3.登梯时，不得双手同时脱离拉梯。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ab/>
      </w:r>
    </w:p>
    <w:p w14:paraId="368F140E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4.登梯时，必须逐级攀登，出现滑落时，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应在滑落后到达的梯蹬处（以距离地面最低的梯蹬计算）重新逐级攀登，不得越级攀登。</w:t>
      </w:r>
    </w:p>
    <w:p w14:paraId="7DE9B55C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（四）成绩评定</w:t>
      </w:r>
    </w:p>
    <w:p w14:paraId="60F0AEA3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计时从发出“开始”口令至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双脚落在二楼地板喊“好”止。</w:t>
      </w:r>
    </w:p>
    <w:p w14:paraId="594F3620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（五）评判细则</w:t>
      </w:r>
    </w:p>
    <w:p w14:paraId="75AC0342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1.有下列情况之一者，不计取成绩：</w:t>
      </w:r>
    </w:p>
    <w:p w14:paraId="7666A364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（1）个人防护装备不齐全的。</w:t>
      </w:r>
    </w:p>
    <w:p w14:paraId="4E050F95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（2）登梯时，双手同时松开拉梯的。</w:t>
      </w:r>
    </w:p>
    <w:p w14:paraId="32D1179E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2.有下列情况之一者，作加时处理：</w:t>
      </w:r>
    </w:p>
    <w:p w14:paraId="0811B004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（1）登梯时，出现未逐级攀登的，每越一个梯蹬加2秒。</w:t>
      </w:r>
    </w:p>
    <w:p w14:paraId="5160A669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（2）出现滑落时，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未在滑落后到达的梯蹬处（以距离地面最低的梯蹬计算）重新逐级攀登的，每次加2秒。</w:t>
      </w:r>
    </w:p>
    <w:p w14:paraId="6544E00D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（3）掉落个人防护装备，在完成操作前自己拾起并重新穿戴好的，每件（套）每次加2秒。</w:t>
      </w:r>
    </w:p>
    <w:p w14:paraId="36708B90">
      <w:pPr>
        <w:pStyle w:val="5"/>
        <w:rPr>
          <w:rFonts w:hint="default" w:ascii="Times New Roman" w:hAnsi="Times New Roman" w:cs="Times New Roman"/>
          <w:highlight w:val="none"/>
        </w:rPr>
      </w:pPr>
    </w:p>
    <w:p w14:paraId="0C106DB3">
      <w:pPr>
        <w:snapToGrid w:val="0"/>
        <w:spacing w:line="600" w:lineRule="exact"/>
        <w:ind w:firstLine="640" w:firstLineChars="200"/>
        <w:jc w:val="center"/>
        <w:rPr>
          <w:rFonts w:hint="default" w:ascii="Times New Roman" w:hAnsi="Times New Roman" w:eastAsia="黑体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黑体" w:cs="Times New Roman"/>
          <w:sz w:val="32"/>
          <w:szCs w:val="32"/>
          <w:highlight w:val="none"/>
        </w:rPr>
        <w:t>拖拽</w:t>
      </w:r>
    </w:p>
    <w:p w14:paraId="7FE1CA5C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（一）场地设置</w:t>
      </w:r>
    </w:p>
    <w:p w14:paraId="2900541F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在宽3米、长18米的场地上分别标出集合线、起点线（5米处）、终点线（15米处），起点线上放置60kg假人1个（假人身体躯干与起点线垂直，头朝起点线），拖拽区域设置光滑橡胶垫。</w:t>
      </w:r>
    </w:p>
    <w:p w14:paraId="1ED6EB0F">
      <w:pPr>
        <w:spacing w:line="600" w:lineRule="exact"/>
        <w:ind w:firstLine="420" w:firstLineChars="200"/>
        <w:rPr>
          <w:rFonts w:hint="default" w:ascii="Times New Roman" w:hAnsi="Times New Roman" w:eastAsia="楷体_GB2312" w:cs="Times New Roman"/>
          <w:b/>
          <w:sz w:val="32"/>
          <w:szCs w:val="32"/>
          <w:highlight w:val="none"/>
        </w:rPr>
      </w:pPr>
      <w:r>
        <w:rPr>
          <w:rFonts w:hint="default" w:ascii="Times New Roman" w:hAnsi="Times New Roman" w:cs="Times New Roman"/>
          <w:highlight w:val="non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25400</wp:posOffset>
            </wp:positionV>
            <wp:extent cx="5729605" cy="2216785"/>
            <wp:effectExtent l="0" t="0" r="10795" b="5715"/>
            <wp:wrapNone/>
            <wp:docPr id="10" name="图片 10" descr="截图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图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60F6E6">
      <w:pPr>
        <w:spacing w:line="600" w:lineRule="exact"/>
        <w:ind w:firstLine="643" w:firstLineChars="200"/>
        <w:rPr>
          <w:rFonts w:hint="default" w:ascii="Times New Roman" w:hAnsi="Times New Roman" w:eastAsia="楷体_GB2312" w:cs="Times New Roman"/>
          <w:b/>
          <w:sz w:val="32"/>
          <w:szCs w:val="32"/>
          <w:highlight w:val="none"/>
        </w:rPr>
      </w:pPr>
    </w:p>
    <w:p w14:paraId="0B313E3C">
      <w:pPr>
        <w:spacing w:line="600" w:lineRule="exact"/>
        <w:rPr>
          <w:rFonts w:hint="default" w:ascii="Times New Roman" w:hAnsi="Times New Roman" w:eastAsia="楷体_GB2312" w:cs="Times New Roman"/>
          <w:b/>
          <w:sz w:val="32"/>
          <w:szCs w:val="32"/>
          <w:highlight w:val="none"/>
        </w:rPr>
      </w:pPr>
    </w:p>
    <w:p w14:paraId="5D3A43E2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（二）操作程序</w:t>
      </w:r>
    </w:p>
    <w:p w14:paraId="7F21A75C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佩戴消防头盔和消防安全腰带在起点线处做好准备（双脚站在起点线前，不得踩线或越线），听到“开始”的口令，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迅速</w:t>
      </w: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highlight w:val="none"/>
        </w:rPr>
        <w:t>用双手从假人腋下穿过抓住两只手臂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（假人头部紧贴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身体），将60kg假人从起点线拖拽至终点线，假人整体越过终点线后喊“好”。</w:t>
      </w:r>
    </w:p>
    <w:p w14:paraId="2F37716C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（三）操作要求</w:t>
      </w:r>
    </w:p>
    <w:p w14:paraId="706282B0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拖曳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假人必须整体越过终点线。</w:t>
      </w:r>
    </w:p>
    <w:p w14:paraId="44C5B022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2.发出“开始”口令前，</w:t>
      </w:r>
      <w:r>
        <w:rPr>
          <w:rFonts w:hint="eastAsia" w:ascii="Times New Roman" w:hAnsi="Times New Roman" w:eastAsia="方正仿宋_GBK" w:cs="Times New Roman"/>
          <w:sz w:val="32"/>
          <w:szCs w:val="32"/>
          <w:highlight w:val="none"/>
          <w:lang w:eastAsia="zh-CN"/>
        </w:rPr>
        <w:t>应聘人员</w:t>
      </w: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不得触碰假人。</w:t>
      </w:r>
    </w:p>
    <w:p w14:paraId="4623D83B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3.假人应按规定方向摆放且任何部位不得超出起点线。</w:t>
      </w:r>
    </w:p>
    <w:p w14:paraId="3F9EF867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（四）成绩评定</w:t>
      </w:r>
    </w:p>
    <w:p w14:paraId="376E459D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计时从发出“开始”信号至假人整体越过终点线后喊“好”止。</w:t>
      </w:r>
    </w:p>
    <w:p w14:paraId="5C7F93F4">
      <w:pPr>
        <w:snapToGrid w:val="0"/>
        <w:spacing w:line="600" w:lineRule="exact"/>
        <w:ind w:firstLine="643" w:firstLineChars="200"/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</w:pPr>
      <w:r>
        <w:rPr>
          <w:rFonts w:hint="default" w:ascii="方正楷体_GBK" w:hAnsi="方正楷体_GBK" w:eastAsia="方正楷体_GBK" w:cs="方正楷体_GBK"/>
          <w:b/>
          <w:sz w:val="32"/>
          <w:szCs w:val="32"/>
          <w:highlight w:val="none"/>
        </w:rPr>
        <w:t>（五）评判细则</w:t>
      </w:r>
    </w:p>
    <w:p w14:paraId="080443F3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1.有下列情况之一者，不计取成绩：</w:t>
      </w:r>
    </w:p>
    <w:p w14:paraId="3A23411C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（1）个人防护装备不齐全的。</w:t>
      </w:r>
    </w:p>
    <w:p w14:paraId="7E0DC8D2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（2）假人未整体拖拽出终点线就喊“好”的。</w:t>
      </w:r>
    </w:p>
    <w:p w14:paraId="1CFAC074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（3）未按规定动作拖拽假人的。</w:t>
      </w:r>
    </w:p>
    <w:p w14:paraId="584027DE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2.加时处理</w:t>
      </w:r>
    </w:p>
    <w:p w14:paraId="35FF44F6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  <w:t>拖拽假人过程中，个人防护装备掉落后重新佩戴好的，每件每次加2秒。</w:t>
      </w:r>
    </w:p>
    <w:p w14:paraId="1DEA93D7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</w:p>
    <w:p w14:paraId="67DDB057">
      <w:pPr>
        <w:snapToGrid w:val="0"/>
        <w:spacing w:line="600" w:lineRule="exact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highlight w:val="none"/>
        </w:rPr>
      </w:pPr>
    </w:p>
    <w:p w14:paraId="688A341E">
      <w:pPr>
        <w:pStyle w:val="5"/>
        <w:rPr>
          <w:rFonts w:hint="eastAsia"/>
          <w:lang w:eastAsia="zh-CN"/>
        </w:rPr>
      </w:pPr>
    </w:p>
    <w:tbl>
      <w:tblPr>
        <w:tblStyle w:val="3"/>
        <w:tblW w:w="8080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7"/>
        <w:gridCol w:w="1371"/>
        <w:gridCol w:w="1370"/>
        <w:gridCol w:w="1371"/>
        <w:gridCol w:w="1371"/>
      </w:tblGrid>
      <w:tr w14:paraId="3EF40E9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  <w:jc w:val="center"/>
        </w:trPr>
        <w:tc>
          <w:tcPr>
            <w:tcW w:w="0" w:type="auto"/>
            <w:gridSpan w:val="5"/>
            <w:noWrap w:val="0"/>
            <w:vAlign w:val="center"/>
          </w:tcPr>
          <w:p w14:paraId="217DACF2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  <w:t>岗位适应性测试项目标准</w:t>
            </w:r>
          </w:p>
        </w:tc>
      </w:tr>
      <w:tr w14:paraId="5D558A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  <w:jc w:val="center"/>
        </w:trPr>
        <w:tc>
          <w:tcPr>
            <w:tcW w:w="0" w:type="auto"/>
            <w:noWrap w:val="0"/>
            <w:vAlign w:val="center"/>
          </w:tcPr>
          <w:p w14:paraId="4398CBB7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  <w:t>项目</w:t>
            </w:r>
          </w:p>
        </w:tc>
        <w:tc>
          <w:tcPr>
            <w:tcW w:w="1371" w:type="dxa"/>
            <w:noWrap w:val="0"/>
            <w:vAlign w:val="center"/>
          </w:tcPr>
          <w:p w14:paraId="1BCE510E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  <w:t>优秀</w:t>
            </w:r>
          </w:p>
          <w:p w14:paraId="043B93D9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val="en-US" w:eastAsia="zh-CN"/>
              </w:rPr>
              <w:t>折算100分</w:t>
            </w: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eastAsia="zh-CN"/>
              </w:rPr>
              <w:t>）</w:t>
            </w:r>
          </w:p>
        </w:tc>
        <w:tc>
          <w:tcPr>
            <w:tcW w:w="1370" w:type="dxa"/>
            <w:noWrap w:val="0"/>
            <w:vAlign w:val="center"/>
          </w:tcPr>
          <w:p w14:paraId="245ED9EC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  <w:t>良好</w:t>
            </w:r>
          </w:p>
          <w:p w14:paraId="3B86422D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val="en-US" w:eastAsia="zh-CN"/>
              </w:rPr>
              <w:t>折算80分</w:t>
            </w: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eastAsia="zh-CN"/>
              </w:rPr>
              <w:t>）</w:t>
            </w:r>
          </w:p>
        </w:tc>
        <w:tc>
          <w:tcPr>
            <w:tcW w:w="1371" w:type="dxa"/>
            <w:noWrap w:val="0"/>
            <w:vAlign w:val="center"/>
          </w:tcPr>
          <w:p w14:paraId="7BCD2572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  <w:t>中等</w:t>
            </w:r>
          </w:p>
          <w:p w14:paraId="5BD24C12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val="en-US" w:eastAsia="zh-CN"/>
              </w:rPr>
              <w:t>折算60分</w:t>
            </w: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eastAsia="zh-CN"/>
              </w:rPr>
              <w:t>）</w:t>
            </w:r>
          </w:p>
        </w:tc>
        <w:tc>
          <w:tcPr>
            <w:tcW w:w="1371" w:type="dxa"/>
            <w:noWrap w:val="0"/>
            <w:vAlign w:val="center"/>
          </w:tcPr>
          <w:p w14:paraId="069A1F74">
            <w:pPr>
              <w:adjustRightInd w:val="0"/>
              <w:snapToGrid w:val="0"/>
              <w:jc w:val="center"/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val="en-US" w:eastAsia="zh-CN"/>
              </w:rPr>
              <w:t>合格</w:t>
            </w:r>
          </w:p>
          <w:p w14:paraId="0B5D4AB0">
            <w:pPr>
              <w:adjustRightInd w:val="0"/>
              <w:snapToGrid w:val="0"/>
              <w:jc w:val="center"/>
              <w:rPr>
                <w:rFonts w:hint="default" w:ascii="Times New Roman" w:hAnsi="Times New Roman" w:eastAsia="方正黑体_GBK" w:cs="Times New Roman"/>
                <w:sz w:val="24"/>
                <w:highlight w:val="none"/>
              </w:rPr>
            </w:pPr>
            <w:r>
              <w:rPr>
                <w:rFonts w:hint="eastAsia" w:ascii="Times New Roman" w:hAnsi="Times New Roman" w:eastAsia="方正黑体_GBK" w:cs="Times New Roman"/>
                <w:sz w:val="24"/>
                <w:highlight w:val="none"/>
                <w:lang w:val="en-US" w:eastAsia="zh-CN"/>
              </w:rPr>
              <w:t>（则算40分）</w:t>
            </w:r>
          </w:p>
        </w:tc>
      </w:tr>
      <w:tr w14:paraId="3F49049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5" w:hRule="atLeast"/>
          <w:jc w:val="center"/>
        </w:trPr>
        <w:tc>
          <w:tcPr>
            <w:tcW w:w="0" w:type="auto"/>
            <w:noWrap w:val="0"/>
            <w:vAlign w:val="center"/>
          </w:tcPr>
          <w:p w14:paraId="747B4568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原地攀登六米拉梯</w:t>
            </w:r>
          </w:p>
        </w:tc>
        <w:tc>
          <w:tcPr>
            <w:tcW w:w="0" w:type="auto"/>
            <w:noWrap w:val="0"/>
            <w:vAlign w:val="center"/>
          </w:tcPr>
          <w:p w14:paraId="08B3E369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10″</w:t>
            </w:r>
          </w:p>
        </w:tc>
        <w:tc>
          <w:tcPr>
            <w:tcW w:w="0" w:type="auto"/>
            <w:noWrap w:val="0"/>
            <w:vAlign w:val="center"/>
          </w:tcPr>
          <w:p w14:paraId="3DAFD2E9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15″</w:t>
            </w:r>
          </w:p>
        </w:tc>
        <w:tc>
          <w:tcPr>
            <w:tcW w:w="0" w:type="auto"/>
            <w:noWrap w:val="0"/>
            <w:vAlign w:val="center"/>
          </w:tcPr>
          <w:p w14:paraId="16B5DFD8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20″</w:t>
            </w:r>
          </w:p>
        </w:tc>
        <w:tc>
          <w:tcPr>
            <w:tcW w:w="0" w:type="auto"/>
            <w:noWrap w:val="0"/>
            <w:vAlign w:val="center"/>
          </w:tcPr>
          <w:p w14:paraId="67855A43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25″</w:t>
            </w:r>
          </w:p>
        </w:tc>
      </w:tr>
      <w:tr w14:paraId="65E984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9" w:hRule="atLeast"/>
          <w:jc w:val="center"/>
        </w:trPr>
        <w:tc>
          <w:tcPr>
            <w:tcW w:w="0" w:type="auto"/>
            <w:noWrap w:val="0"/>
            <w:vAlign w:val="center"/>
          </w:tcPr>
          <w:p w14:paraId="75DB248F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拖拽</w:t>
            </w:r>
          </w:p>
        </w:tc>
        <w:tc>
          <w:tcPr>
            <w:tcW w:w="0" w:type="auto"/>
            <w:noWrap w:val="0"/>
            <w:vAlign w:val="center"/>
          </w:tcPr>
          <w:p w14:paraId="23DE3435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12″</w:t>
            </w:r>
          </w:p>
        </w:tc>
        <w:tc>
          <w:tcPr>
            <w:tcW w:w="0" w:type="auto"/>
            <w:noWrap w:val="0"/>
            <w:vAlign w:val="center"/>
          </w:tcPr>
          <w:p w14:paraId="17B95331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13″</w:t>
            </w:r>
          </w:p>
        </w:tc>
        <w:tc>
          <w:tcPr>
            <w:tcW w:w="0" w:type="auto"/>
            <w:noWrap w:val="0"/>
            <w:vAlign w:val="center"/>
          </w:tcPr>
          <w:p w14:paraId="7B41270D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14″</w:t>
            </w:r>
          </w:p>
        </w:tc>
        <w:tc>
          <w:tcPr>
            <w:tcW w:w="0" w:type="auto"/>
            <w:noWrap w:val="0"/>
            <w:vAlign w:val="center"/>
          </w:tcPr>
          <w:p w14:paraId="3B7D4FC5">
            <w:pPr>
              <w:adjustRightInd w:val="0"/>
              <w:snapToGrid w:val="0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15″</w:t>
            </w:r>
          </w:p>
        </w:tc>
      </w:tr>
      <w:tr w14:paraId="2B9896B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0" w:hRule="atLeast"/>
          <w:jc w:val="center"/>
        </w:trPr>
        <w:tc>
          <w:tcPr>
            <w:tcW w:w="0" w:type="auto"/>
            <w:noWrap w:val="0"/>
            <w:vAlign w:val="center"/>
          </w:tcPr>
          <w:p w14:paraId="08CB9C07">
            <w:pPr>
              <w:contextualSpacing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备注</w:t>
            </w:r>
          </w:p>
        </w:tc>
        <w:tc>
          <w:tcPr>
            <w:tcW w:w="0" w:type="auto"/>
            <w:gridSpan w:val="4"/>
            <w:noWrap w:val="0"/>
            <w:vAlign w:val="center"/>
          </w:tcPr>
          <w:p w14:paraId="0A0B9019">
            <w:pPr>
              <w:adjustRightInd w:val="0"/>
              <w:snapToGrid w:val="0"/>
              <w:spacing w:line="280" w:lineRule="exact"/>
              <w:jc w:val="center"/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</w:pP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单项成绩未达到“</w:t>
            </w:r>
            <w:r>
              <w:rPr>
                <w:rFonts w:hint="eastAsia" w:ascii="Times New Roman" w:hAnsi="Times New Roman" w:eastAsia="方正仿宋_GBK" w:cs="Times New Roman"/>
                <w:sz w:val="24"/>
                <w:highlight w:val="none"/>
                <w:lang w:val="en-US" w:eastAsia="zh-CN"/>
              </w:rPr>
              <w:t>合格</w:t>
            </w: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”标准的不予</w:t>
            </w:r>
            <w:r>
              <w:rPr>
                <w:rFonts w:hint="eastAsia" w:ascii="Times New Roman" w:hAnsi="Times New Roman" w:eastAsia="方正仿宋_GBK" w:cs="Times New Roman"/>
                <w:sz w:val="24"/>
                <w:highlight w:val="none"/>
                <w:lang w:val="en-US" w:eastAsia="zh-CN"/>
              </w:rPr>
              <w:t>聘用</w:t>
            </w:r>
            <w:r>
              <w:rPr>
                <w:rFonts w:hint="default" w:ascii="Times New Roman" w:hAnsi="Times New Roman" w:eastAsia="方正仿宋_GBK" w:cs="Times New Roman"/>
                <w:sz w:val="24"/>
                <w:highlight w:val="none"/>
              </w:rPr>
              <w:t>。</w:t>
            </w:r>
          </w:p>
        </w:tc>
      </w:tr>
    </w:tbl>
    <w:p w14:paraId="7DE847CA"/>
    <w:sectPr>
      <w:pgSz w:w="11906" w:h="16838"/>
      <w:pgMar w:top="1440" w:right="1519" w:bottom="1440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3DBC646-E5E3-4891-BD4F-FB0F4644B55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2AD95823-DEF6-4F51-A4E7-FAE6359ED3DB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3" w:fontKey="{DD7569A6-3DF7-4EDE-9362-25A64954DEA4}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  <w:embedRegular r:id="rId4" w:fontKey="{A7A55199-4A6A-4F7E-B62B-38115EA69D06}"/>
  </w:font>
  <w:font w:name="方正楷体_GBK">
    <w:panose1 w:val="02000000000000000000"/>
    <w:charset w:val="86"/>
    <w:family w:val="script"/>
    <w:pitch w:val="default"/>
    <w:sig w:usb0="800002BF" w:usb1="38CF7CFA" w:usb2="00000016" w:usb3="00000000" w:csb0="00040000" w:csb1="00000000"/>
    <w:embedRegular r:id="rId5" w:fontKey="{4C46C17A-F64D-4015-857F-D47239489F60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C459BE32-A9EC-467B-A88B-2400C7EFD997}"/>
  </w:font>
  <w:font w:name="方正黑体_GBK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7" w:fontKey="{98768D92-7F2E-47A3-B8A3-290C933AB81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53EB9DF4-268C-4BA1-868A-1EC66EF7D0CC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063E26"/>
    <w:rsid w:val="4C7B030A"/>
    <w:rsid w:val="62063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Default"/>
    <w:basedOn w:val="6"/>
    <w:next w:val="1"/>
    <w:autoRedefine/>
    <w:unhideWhenUsed/>
    <w:qFormat/>
    <w:uiPriority w:val="0"/>
    <w:pPr>
      <w:widowControl w:val="0"/>
      <w:autoSpaceDE w:val="0"/>
      <w:autoSpaceDN w:val="0"/>
      <w:adjustRightInd w:val="0"/>
    </w:pPr>
    <w:rPr>
      <w:rFonts w:hint="eastAsia" w:ascii="宋体" w:hAnsi="宋体"/>
      <w:color w:val="000000"/>
      <w:sz w:val="24"/>
      <w:szCs w:val="22"/>
    </w:rPr>
  </w:style>
  <w:style w:type="paragraph" w:customStyle="1" w:styleId="6">
    <w:name w:val="正文1"/>
    <w:autoRedefine/>
    <w:qFormat/>
    <w:uiPriority w:val="0"/>
    <w:pPr>
      <w:jc w:val="both"/>
    </w:pPr>
    <w:rPr>
      <w:rFonts w:ascii="Calibri" w:hAnsi="Calibri" w:eastAsia="宋体" w:cs="Times New Roman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2026-05-11T09:23:00Z</dcterms:created>
  <dc:creator>PZH</dc:creator>
  <cp:lastModifiedBy>PZH</cp:lastModifiedBy>
  <dcterms:modified xsi:type="dcterms:W3CDTF">2026-05-11T10:05:05Z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C9930FBD69E846AEA05D2CF424471375_11</vt:lpwstr>
  </property>
  <property fmtid="{D5CDD505-2E9C-101B-9397-08002B2CF9AE}" pid="4" name="KSOTemplateDocerSaveRecord">
    <vt:lpwstr>eyJoZGlkIjoiNmQ1ODY1ODUyMmE2ZTZkODA5ZmZlNTcxMWQ3YjA5N2MiLCJ1c2VySWQiOiIzMTM5MDQ2MDgifQ==</vt:lpwstr>
  </property>
</Properties>
</file>