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199"/>
        <w:gridCol w:w="533"/>
        <w:gridCol w:w="942"/>
        <w:gridCol w:w="510"/>
        <w:gridCol w:w="968"/>
        <w:gridCol w:w="570"/>
        <w:gridCol w:w="1530"/>
        <w:gridCol w:w="615"/>
        <w:gridCol w:w="240"/>
        <w:gridCol w:w="750"/>
        <w:gridCol w:w="630"/>
        <w:gridCol w:w="645"/>
        <w:gridCol w:w="1485"/>
        <w:gridCol w:w="1018"/>
        <w:gridCol w:w="1436"/>
        <w:gridCol w:w="8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489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  <w:lang w:val="en-US" w:eastAsia="zh-CN"/>
              </w:rPr>
              <w:t>2026年三明市</w:t>
            </w:r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  <w:t>明溪县</w:t>
            </w:r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  <w:lang w:val="en-US" w:eastAsia="zh-CN"/>
              </w:rPr>
              <w:t>事业单位公开招聘紧缺急需专业</w:t>
            </w:r>
            <w:r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  <w:t>工作人员岗位信息表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经费方式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笔试面试(含技能测试)成绩折算比例</w:t>
            </w:r>
          </w:p>
        </w:tc>
        <w:tc>
          <w:tcPr>
            <w:tcW w:w="89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明溪县中医院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专技人员(内科)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中医学、中西医临床医学、中西医结合临床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明溪县卫生健康局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明溪县中医院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专技人员(治未病科)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免笔试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中医学、中西医临床医学、中西医结合临床、针灸推拿（学）、针灸推拿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具有执业医师及以上资格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黄女士      0598-2866738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94217"/>
    <w:rsid w:val="5659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2026-05-11T02:44:00Z</dcterms:created>
  <dc:creator>温开水</dc:creator>
  <cp:lastModifiedBy>温开水</cp:lastModifiedBy>
  <dcterms:modified xsi:type="dcterms:W3CDTF">2026-05-11T02:45:38Z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