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F8B56">
      <w:pPr>
        <w:tabs>
          <w:tab w:val="left" w:pos="7513"/>
        </w:tabs>
        <w:spacing w:afterLines="100" w:line="600" w:lineRule="exact"/>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附件</w:t>
      </w:r>
      <w:r>
        <w:rPr>
          <w:rFonts w:hint="eastAsia" w:ascii="黑体" w:hAnsi="黑体" w:eastAsia="黑体"/>
          <w:color w:val="auto"/>
          <w:sz w:val="32"/>
          <w:szCs w:val="32"/>
          <w:shd w:val="clear" w:color="auto" w:fill="auto"/>
          <w:lang w:val="en-US" w:eastAsia="zh-CN"/>
        </w:rPr>
        <w:t>1</w:t>
      </w:r>
      <w:bookmarkStart w:id="0" w:name="_GoBack"/>
      <w:bookmarkEnd w:id="0"/>
    </w:p>
    <w:p w14:paraId="168C4AA3">
      <w:pPr>
        <w:tabs>
          <w:tab w:val="left" w:pos="7513"/>
        </w:tabs>
        <w:spacing w:afterLines="100" w:line="600" w:lineRule="exact"/>
        <w:jc w:val="center"/>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芜湖</w:t>
      </w:r>
      <w:r>
        <w:rPr>
          <w:rFonts w:hint="eastAsia" w:ascii="方正小标宋简体" w:hAnsi="方正小标宋简体" w:eastAsia="方正小标宋简体" w:cs="方正小标宋简体"/>
          <w:color w:val="auto"/>
          <w:sz w:val="44"/>
          <w:szCs w:val="44"/>
          <w:shd w:val="clear" w:color="auto" w:fill="auto"/>
          <w:lang w:eastAsia="zh-CN"/>
        </w:rPr>
        <w:t>市一院202</w:t>
      </w:r>
      <w:r>
        <w:rPr>
          <w:rFonts w:hint="eastAsia" w:ascii="方正小标宋简体" w:hAnsi="方正小标宋简体" w:eastAsia="方正小标宋简体" w:cs="方正小标宋简体"/>
          <w:color w:val="auto"/>
          <w:sz w:val="44"/>
          <w:szCs w:val="44"/>
          <w:shd w:val="clear" w:color="auto" w:fill="auto"/>
          <w:lang w:val="en-US" w:eastAsia="zh-CN"/>
        </w:rPr>
        <w:t>6</w:t>
      </w:r>
      <w:r>
        <w:rPr>
          <w:rFonts w:hint="eastAsia" w:ascii="方正小标宋简体" w:hAnsi="方正小标宋简体" w:eastAsia="方正小标宋简体" w:cs="方正小标宋简体"/>
          <w:color w:val="auto"/>
          <w:sz w:val="44"/>
          <w:szCs w:val="44"/>
          <w:shd w:val="clear" w:color="auto" w:fill="auto"/>
          <w:lang w:eastAsia="zh-CN"/>
        </w:rPr>
        <w:t>年</w:t>
      </w:r>
      <w:r>
        <w:rPr>
          <w:rFonts w:hint="eastAsia" w:ascii="方正小标宋简体" w:hAnsi="方正小标宋简体" w:eastAsia="方正小标宋简体" w:cs="方正小标宋简体"/>
          <w:color w:val="auto"/>
          <w:sz w:val="44"/>
          <w:szCs w:val="44"/>
          <w:shd w:val="clear" w:color="auto" w:fill="auto"/>
        </w:rPr>
        <w:t>公开招聘</w:t>
      </w:r>
      <w:r>
        <w:rPr>
          <w:rFonts w:hint="eastAsia" w:ascii="方正小标宋简体" w:hAnsi="方正小标宋简体" w:eastAsia="方正小标宋简体" w:cs="方正小标宋简体"/>
          <w:color w:val="auto"/>
          <w:sz w:val="44"/>
          <w:szCs w:val="44"/>
          <w:shd w:val="clear" w:color="auto" w:fill="auto"/>
          <w:lang w:val="en-US" w:eastAsia="zh-CN"/>
        </w:rPr>
        <w:t>编内工作人员</w:t>
      </w:r>
      <w:r>
        <w:rPr>
          <w:rFonts w:hint="eastAsia" w:ascii="方正小标宋简体" w:hAnsi="方正小标宋简体" w:eastAsia="方正小标宋简体" w:cs="方正小标宋简体"/>
          <w:color w:val="auto"/>
          <w:sz w:val="44"/>
          <w:szCs w:val="44"/>
          <w:shd w:val="clear" w:color="auto" w:fill="auto"/>
        </w:rPr>
        <w:t>岗位表</w:t>
      </w:r>
    </w:p>
    <w:tbl>
      <w:tblPr>
        <w:tblStyle w:val="4"/>
        <w:tblW w:w="14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75"/>
        <w:gridCol w:w="567"/>
        <w:gridCol w:w="744"/>
        <w:gridCol w:w="592"/>
        <w:gridCol w:w="1065"/>
        <w:gridCol w:w="1051"/>
        <w:gridCol w:w="924"/>
        <w:gridCol w:w="1620"/>
        <w:gridCol w:w="1236"/>
        <w:gridCol w:w="1056"/>
        <w:gridCol w:w="1200"/>
        <w:gridCol w:w="2688"/>
        <w:gridCol w:w="1190"/>
      </w:tblGrid>
      <w:tr w14:paraId="006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8" w:type="dxa"/>
            <w:vMerge w:val="restart"/>
            <w:vAlign w:val="center"/>
          </w:tcPr>
          <w:p w14:paraId="7F202459">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序号</w:t>
            </w:r>
          </w:p>
        </w:tc>
        <w:tc>
          <w:tcPr>
            <w:tcW w:w="475" w:type="dxa"/>
            <w:vMerge w:val="restart"/>
            <w:vAlign w:val="center"/>
          </w:tcPr>
          <w:p w14:paraId="448584F3">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招聘单位</w:t>
            </w:r>
          </w:p>
        </w:tc>
        <w:tc>
          <w:tcPr>
            <w:tcW w:w="567" w:type="dxa"/>
            <w:vMerge w:val="restart"/>
            <w:vAlign w:val="center"/>
          </w:tcPr>
          <w:p w14:paraId="2CACCBF3">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单位类别</w:t>
            </w:r>
          </w:p>
        </w:tc>
        <w:tc>
          <w:tcPr>
            <w:tcW w:w="744" w:type="dxa"/>
            <w:vMerge w:val="restart"/>
            <w:vAlign w:val="center"/>
          </w:tcPr>
          <w:p w14:paraId="1D1D7741">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招聘计划总数</w:t>
            </w:r>
            <w:r>
              <w:rPr>
                <w:rFonts w:hint="eastAsia" w:ascii="宋体" w:hAnsi="宋体"/>
                <w:b/>
                <w:bCs/>
                <w:color w:val="auto"/>
                <w:kern w:val="0"/>
                <w:sz w:val="18"/>
                <w:szCs w:val="18"/>
                <w:shd w:val="clear" w:color="auto" w:fill="auto"/>
              </w:rPr>
              <w:br w:type="textWrapping"/>
            </w:r>
            <w:r>
              <w:rPr>
                <w:rFonts w:hint="eastAsia" w:ascii="宋体" w:hAnsi="宋体"/>
                <w:b/>
                <w:bCs/>
                <w:color w:val="auto"/>
                <w:kern w:val="0"/>
                <w:sz w:val="18"/>
                <w:szCs w:val="18"/>
                <w:shd w:val="clear" w:color="auto" w:fill="auto"/>
              </w:rPr>
              <w:t>（名)</w:t>
            </w:r>
          </w:p>
        </w:tc>
        <w:tc>
          <w:tcPr>
            <w:tcW w:w="592" w:type="dxa"/>
            <w:vMerge w:val="restart"/>
            <w:vAlign w:val="center"/>
          </w:tcPr>
          <w:p w14:paraId="4DE0FFFC">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用工形式</w:t>
            </w:r>
          </w:p>
        </w:tc>
        <w:tc>
          <w:tcPr>
            <w:tcW w:w="1065" w:type="dxa"/>
            <w:vMerge w:val="restart"/>
            <w:vAlign w:val="center"/>
          </w:tcPr>
          <w:p w14:paraId="4FFE320F">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岗位名称</w:t>
            </w:r>
          </w:p>
        </w:tc>
        <w:tc>
          <w:tcPr>
            <w:tcW w:w="1051" w:type="dxa"/>
            <w:vMerge w:val="restart"/>
            <w:vAlign w:val="center"/>
          </w:tcPr>
          <w:p w14:paraId="353E214B">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岗位代码</w:t>
            </w:r>
          </w:p>
        </w:tc>
        <w:tc>
          <w:tcPr>
            <w:tcW w:w="924" w:type="dxa"/>
            <w:vMerge w:val="restart"/>
            <w:vAlign w:val="center"/>
          </w:tcPr>
          <w:p w14:paraId="4DD8A87A">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招聘人数</w:t>
            </w:r>
            <w:r>
              <w:rPr>
                <w:rFonts w:hint="eastAsia" w:ascii="宋体" w:hAnsi="宋体"/>
                <w:b/>
                <w:bCs/>
                <w:color w:val="auto"/>
                <w:kern w:val="0"/>
                <w:sz w:val="18"/>
                <w:szCs w:val="18"/>
                <w:shd w:val="clear" w:color="auto" w:fill="auto"/>
              </w:rPr>
              <w:br w:type="textWrapping"/>
            </w:r>
            <w:r>
              <w:rPr>
                <w:rFonts w:hint="eastAsia" w:ascii="宋体" w:hAnsi="宋体"/>
                <w:b/>
                <w:bCs/>
                <w:color w:val="auto"/>
                <w:kern w:val="0"/>
                <w:sz w:val="18"/>
                <w:szCs w:val="18"/>
                <w:shd w:val="clear" w:color="auto" w:fill="auto"/>
              </w:rPr>
              <w:t>（名)</w:t>
            </w:r>
          </w:p>
        </w:tc>
        <w:tc>
          <w:tcPr>
            <w:tcW w:w="8990" w:type="dxa"/>
            <w:gridSpan w:val="6"/>
            <w:vAlign w:val="center"/>
          </w:tcPr>
          <w:p w14:paraId="5F77CEEB">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岗位条件和要求</w:t>
            </w:r>
          </w:p>
        </w:tc>
      </w:tr>
      <w:tr w14:paraId="2326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8" w:type="dxa"/>
            <w:vMerge w:val="continue"/>
            <w:vAlign w:val="center"/>
          </w:tcPr>
          <w:p w14:paraId="2E062582">
            <w:pPr>
              <w:widowControl/>
              <w:jc w:val="left"/>
              <w:rPr>
                <w:rFonts w:ascii="宋体" w:hAnsi="宋体"/>
                <w:b/>
                <w:bCs/>
                <w:color w:val="auto"/>
                <w:kern w:val="0"/>
                <w:sz w:val="18"/>
                <w:szCs w:val="18"/>
                <w:shd w:val="clear" w:color="auto" w:fill="auto"/>
              </w:rPr>
            </w:pPr>
          </w:p>
        </w:tc>
        <w:tc>
          <w:tcPr>
            <w:tcW w:w="475" w:type="dxa"/>
            <w:vMerge w:val="continue"/>
            <w:vAlign w:val="center"/>
          </w:tcPr>
          <w:p w14:paraId="67CF1D17">
            <w:pPr>
              <w:widowControl/>
              <w:jc w:val="left"/>
              <w:rPr>
                <w:rFonts w:ascii="宋体" w:hAnsi="宋体"/>
                <w:b/>
                <w:bCs/>
                <w:color w:val="auto"/>
                <w:kern w:val="0"/>
                <w:sz w:val="18"/>
                <w:szCs w:val="18"/>
                <w:shd w:val="clear" w:color="auto" w:fill="auto"/>
              </w:rPr>
            </w:pPr>
          </w:p>
        </w:tc>
        <w:tc>
          <w:tcPr>
            <w:tcW w:w="567" w:type="dxa"/>
            <w:vMerge w:val="continue"/>
            <w:vAlign w:val="center"/>
          </w:tcPr>
          <w:p w14:paraId="4B412CB4">
            <w:pPr>
              <w:widowControl/>
              <w:jc w:val="left"/>
              <w:rPr>
                <w:rFonts w:ascii="宋体" w:hAnsi="宋体"/>
                <w:b/>
                <w:bCs/>
                <w:color w:val="auto"/>
                <w:kern w:val="0"/>
                <w:sz w:val="18"/>
                <w:szCs w:val="18"/>
                <w:shd w:val="clear" w:color="auto" w:fill="auto"/>
              </w:rPr>
            </w:pPr>
          </w:p>
        </w:tc>
        <w:tc>
          <w:tcPr>
            <w:tcW w:w="744" w:type="dxa"/>
            <w:vMerge w:val="continue"/>
            <w:vAlign w:val="center"/>
          </w:tcPr>
          <w:p w14:paraId="3E82EEDD">
            <w:pPr>
              <w:widowControl/>
              <w:jc w:val="left"/>
              <w:rPr>
                <w:rFonts w:ascii="宋体" w:hAnsi="宋体"/>
                <w:b/>
                <w:bCs/>
                <w:color w:val="auto"/>
                <w:kern w:val="0"/>
                <w:sz w:val="18"/>
                <w:szCs w:val="18"/>
                <w:shd w:val="clear" w:color="auto" w:fill="auto"/>
              </w:rPr>
            </w:pPr>
          </w:p>
        </w:tc>
        <w:tc>
          <w:tcPr>
            <w:tcW w:w="592" w:type="dxa"/>
            <w:vMerge w:val="continue"/>
            <w:vAlign w:val="center"/>
          </w:tcPr>
          <w:p w14:paraId="5C62880B">
            <w:pPr>
              <w:widowControl/>
              <w:jc w:val="left"/>
              <w:rPr>
                <w:rFonts w:ascii="宋体" w:hAnsi="宋体"/>
                <w:b/>
                <w:bCs/>
                <w:color w:val="auto"/>
                <w:kern w:val="0"/>
                <w:sz w:val="18"/>
                <w:szCs w:val="18"/>
                <w:shd w:val="clear" w:color="auto" w:fill="auto"/>
              </w:rPr>
            </w:pPr>
          </w:p>
        </w:tc>
        <w:tc>
          <w:tcPr>
            <w:tcW w:w="1065" w:type="dxa"/>
            <w:vMerge w:val="continue"/>
            <w:vAlign w:val="center"/>
          </w:tcPr>
          <w:p w14:paraId="57B682BF">
            <w:pPr>
              <w:widowControl/>
              <w:jc w:val="left"/>
              <w:rPr>
                <w:rFonts w:ascii="宋体" w:hAnsi="宋体"/>
                <w:b/>
                <w:bCs/>
                <w:color w:val="auto"/>
                <w:kern w:val="0"/>
                <w:sz w:val="18"/>
                <w:szCs w:val="18"/>
                <w:shd w:val="clear" w:color="auto" w:fill="auto"/>
              </w:rPr>
            </w:pPr>
          </w:p>
        </w:tc>
        <w:tc>
          <w:tcPr>
            <w:tcW w:w="1051" w:type="dxa"/>
            <w:vMerge w:val="continue"/>
            <w:vAlign w:val="center"/>
          </w:tcPr>
          <w:p w14:paraId="3E6472D6">
            <w:pPr>
              <w:widowControl/>
              <w:jc w:val="left"/>
              <w:rPr>
                <w:rFonts w:ascii="宋体" w:hAnsi="宋体"/>
                <w:b/>
                <w:bCs/>
                <w:color w:val="auto"/>
                <w:kern w:val="0"/>
                <w:sz w:val="18"/>
                <w:szCs w:val="18"/>
                <w:shd w:val="clear" w:color="auto" w:fill="auto"/>
              </w:rPr>
            </w:pPr>
          </w:p>
        </w:tc>
        <w:tc>
          <w:tcPr>
            <w:tcW w:w="924" w:type="dxa"/>
            <w:vMerge w:val="continue"/>
            <w:vAlign w:val="center"/>
          </w:tcPr>
          <w:p w14:paraId="29EDC731">
            <w:pPr>
              <w:widowControl/>
              <w:jc w:val="left"/>
              <w:rPr>
                <w:rFonts w:ascii="宋体" w:hAnsi="宋体"/>
                <w:b/>
                <w:bCs/>
                <w:color w:val="auto"/>
                <w:kern w:val="0"/>
                <w:sz w:val="18"/>
                <w:szCs w:val="18"/>
                <w:shd w:val="clear" w:color="auto" w:fill="auto"/>
              </w:rPr>
            </w:pPr>
          </w:p>
        </w:tc>
        <w:tc>
          <w:tcPr>
            <w:tcW w:w="1620" w:type="dxa"/>
            <w:vAlign w:val="center"/>
          </w:tcPr>
          <w:p w14:paraId="7854D68A">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专业</w:t>
            </w:r>
          </w:p>
        </w:tc>
        <w:tc>
          <w:tcPr>
            <w:tcW w:w="1236" w:type="dxa"/>
            <w:vAlign w:val="center"/>
          </w:tcPr>
          <w:p w14:paraId="20F5934B">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学历</w:t>
            </w:r>
          </w:p>
        </w:tc>
        <w:tc>
          <w:tcPr>
            <w:tcW w:w="1056" w:type="dxa"/>
            <w:vAlign w:val="center"/>
          </w:tcPr>
          <w:p w14:paraId="40D34EDB">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学位</w:t>
            </w:r>
          </w:p>
        </w:tc>
        <w:tc>
          <w:tcPr>
            <w:tcW w:w="1200" w:type="dxa"/>
            <w:vAlign w:val="center"/>
          </w:tcPr>
          <w:p w14:paraId="731CE207">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年龄</w:t>
            </w:r>
          </w:p>
        </w:tc>
        <w:tc>
          <w:tcPr>
            <w:tcW w:w="2688" w:type="dxa"/>
            <w:vAlign w:val="center"/>
          </w:tcPr>
          <w:p w14:paraId="4CB57E58">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要求</w:t>
            </w:r>
          </w:p>
        </w:tc>
        <w:tc>
          <w:tcPr>
            <w:tcW w:w="1190" w:type="dxa"/>
            <w:vAlign w:val="center"/>
          </w:tcPr>
          <w:p w14:paraId="37725788">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用人科室</w:t>
            </w:r>
          </w:p>
        </w:tc>
      </w:tr>
      <w:tr w14:paraId="2B58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8" w:type="dxa"/>
            <w:vAlign w:val="center"/>
          </w:tcPr>
          <w:p w14:paraId="136F06DB">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1</w:t>
            </w:r>
          </w:p>
        </w:tc>
        <w:tc>
          <w:tcPr>
            <w:tcW w:w="475" w:type="dxa"/>
            <w:vMerge w:val="restart"/>
            <w:vAlign w:val="center"/>
          </w:tcPr>
          <w:p w14:paraId="37FBA8B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芜湖市第</w:t>
            </w:r>
            <w:r>
              <w:rPr>
                <w:rFonts w:hint="eastAsia" w:ascii="仿宋_GB2312" w:hAnsi="仿宋_GB2312" w:eastAsia="仿宋_GB2312" w:cs="仿宋_GB2312"/>
                <w:color w:val="auto"/>
                <w:shd w:val="clear" w:color="auto" w:fill="auto"/>
                <w:lang w:val="en-US" w:eastAsia="zh-CN"/>
              </w:rPr>
              <w:t>一医</w:t>
            </w:r>
            <w:r>
              <w:rPr>
                <w:rFonts w:hint="eastAsia" w:ascii="仿宋_GB2312" w:hAnsi="仿宋_GB2312" w:eastAsia="仿宋_GB2312" w:cs="仿宋_GB2312"/>
                <w:color w:val="auto"/>
                <w:shd w:val="clear" w:color="auto" w:fill="auto"/>
              </w:rPr>
              <w:t>人民医院</w:t>
            </w:r>
          </w:p>
        </w:tc>
        <w:tc>
          <w:tcPr>
            <w:tcW w:w="567" w:type="dxa"/>
            <w:vMerge w:val="restart"/>
            <w:vAlign w:val="center"/>
          </w:tcPr>
          <w:p w14:paraId="7B5D9A0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公益二类</w:t>
            </w:r>
          </w:p>
        </w:tc>
        <w:tc>
          <w:tcPr>
            <w:tcW w:w="744" w:type="dxa"/>
            <w:vMerge w:val="restart"/>
            <w:vAlign w:val="center"/>
          </w:tcPr>
          <w:p w14:paraId="52A9DEB6">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9</w:t>
            </w:r>
          </w:p>
        </w:tc>
        <w:tc>
          <w:tcPr>
            <w:tcW w:w="592" w:type="dxa"/>
            <w:vMerge w:val="restart"/>
            <w:vAlign w:val="center"/>
          </w:tcPr>
          <w:p w14:paraId="154FBCBB">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事</w:t>
            </w:r>
          </w:p>
          <w:p w14:paraId="364227CC">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业</w:t>
            </w:r>
          </w:p>
          <w:p w14:paraId="3B5AACAD">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单</w:t>
            </w:r>
          </w:p>
          <w:p w14:paraId="46D8EC75">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位</w:t>
            </w:r>
          </w:p>
          <w:p w14:paraId="375715D2">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编</w:t>
            </w:r>
          </w:p>
          <w:p w14:paraId="68DC3049">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内</w:t>
            </w:r>
          </w:p>
          <w:p w14:paraId="6D78F19B">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077EF77E">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181B5941">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eastAsia="zh-CN"/>
              </w:rPr>
              <w:t>202</w:t>
            </w:r>
            <w:r>
              <w:rPr>
                <w:rFonts w:hint="eastAsia" w:ascii="仿宋_GB2312" w:hAnsi="仿宋_GB2312" w:eastAsia="仿宋_GB2312" w:cs="仿宋_GB2312"/>
                <w:color w:val="auto"/>
                <w:shd w:val="clear" w:color="auto" w:fill="auto"/>
                <w:lang w:val="en-US" w:eastAsia="zh-CN"/>
              </w:rPr>
              <w:t>6101</w:t>
            </w:r>
          </w:p>
        </w:tc>
        <w:tc>
          <w:tcPr>
            <w:tcW w:w="924" w:type="dxa"/>
            <w:vAlign w:val="center"/>
          </w:tcPr>
          <w:p w14:paraId="140646E0">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2</w:t>
            </w:r>
          </w:p>
        </w:tc>
        <w:tc>
          <w:tcPr>
            <w:tcW w:w="1620" w:type="dxa"/>
            <w:vAlign w:val="center"/>
          </w:tcPr>
          <w:p w14:paraId="268700A1">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 xml:space="preserve">外科学（神外）专业 </w:t>
            </w:r>
          </w:p>
        </w:tc>
        <w:tc>
          <w:tcPr>
            <w:tcW w:w="1236" w:type="dxa"/>
            <w:vAlign w:val="center"/>
          </w:tcPr>
          <w:p w14:paraId="0E6CB6BF">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研究生及以上</w:t>
            </w:r>
          </w:p>
        </w:tc>
        <w:tc>
          <w:tcPr>
            <w:tcW w:w="1056" w:type="dxa"/>
            <w:vAlign w:val="center"/>
          </w:tcPr>
          <w:p w14:paraId="5E3040F9">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硕士及以上</w:t>
            </w:r>
          </w:p>
        </w:tc>
        <w:tc>
          <w:tcPr>
            <w:tcW w:w="1200" w:type="dxa"/>
            <w:vAlign w:val="center"/>
          </w:tcPr>
          <w:p w14:paraId="141CEF7D">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0D9CFB6E">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31A279E9">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神经外科</w:t>
            </w:r>
          </w:p>
        </w:tc>
      </w:tr>
      <w:tr w14:paraId="040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18" w:type="dxa"/>
            <w:vAlign w:val="center"/>
          </w:tcPr>
          <w:p w14:paraId="491C7525">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2</w:t>
            </w:r>
          </w:p>
        </w:tc>
        <w:tc>
          <w:tcPr>
            <w:tcW w:w="475" w:type="dxa"/>
            <w:vMerge w:val="continue"/>
            <w:vAlign w:val="center"/>
          </w:tcPr>
          <w:p w14:paraId="6A325A8F">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641E454F">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03D6CFDB">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3243125B">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74879D1F">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3354B547">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eastAsia="zh-CN"/>
              </w:rPr>
              <w:t>202</w:t>
            </w:r>
            <w:r>
              <w:rPr>
                <w:rFonts w:hint="eastAsia" w:ascii="仿宋_GB2312" w:hAnsi="仿宋_GB2312" w:eastAsia="仿宋_GB2312" w:cs="仿宋_GB2312"/>
                <w:color w:val="auto"/>
                <w:shd w:val="clear" w:color="auto" w:fill="auto"/>
                <w:lang w:val="en-US" w:eastAsia="zh-CN"/>
              </w:rPr>
              <w:t>6102</w:t>
            </w:r>
          </w:p>
        </w:tc>
        <w:tc>
          <w:tcPr>
            <w:tcW w:w="924" w:type="dxa"/>
            <w:vAlign w:val="center"/>
          </w:tcPr>
          <w:p w14:paraId="3C28426E">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26FBE579">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 xml:space="preserve">外科学（普外）专业 </w:t>
            </w:r>
          </w:p>
        </w:tc>
        <w:tc>
          <w:tcPr>
            <w:tcW w:w="1236" w:type="dxa"/>
            <w:vAlign w:val="center"/>
          </w:tcPr>
          <w:p w14:paraId="3A2F5BD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研究生及以上</w:t>
            </w:r>
          </w:p>
        </w:tc>
        <w:tc>
          <w:tcPr>
            <w:tcW w:w="1056" w:type="dxa"/>
            <w:vAlign w:val="center"/>
          </w:tcPr>
          <w:p w14:paraId="124A2700">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硕士及以上</w:t>
            </w:r>
          </w:p>
        </w:tc>
        <w:tc>
          <w:tcPr>
            <w:tcW w:w="1200" w:type="dxa"/>
            <w:vAlign w:val="center"/>
          </w:tcPr>
          <w:p w14:paraId="0664DBC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3E0B4E99">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60B66F89">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经开院区综合外科</w:t>
            </w:r>
          </w:p>
        </w:tc>
      </w:tr>
      <w:tr w14:paraId="73C7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18" w:type="dxa"/>
            <w:vAlign w:val="center"/>
          </w:tcPr>
          <w:p w14:paraId="13A8A705">
            <w:pPr>
              <w:widowControl/>
              <w:spacing w:line="440" w:lineRule="exact"/>
              <w:jc w:val="center"/>
              <w:rPr>
                <w:rFonts w:ascii="宋体" w:hAnsi="宋体"/>
                <w:b/>
                <w:bCs/>
                <w:color w:val="auto"/>
                <w:kern w:val="0"/>
                <w:sz w:val="20"/>
                <w:szCs w:val="20"/>
                <w:shd w:val="clear" w:color="auto" w:fill="auto"/>
              </w:rPr>
            </w:pPr>
            <w:r>
              <w:rPr>
                <w:rFonts w:hint="eastAsia" w:ascii="宋体" w:hAnsi="宋体"/>
                <w:b/>
                <w:bCs/>
                <w:color w:val="auto"/>
                <w:kern w:val="0"/>
                <w:sz w:val="20"/>
                <w:szCs w:val="20"/>
                <w:shd w:val="clear" w:color="auto" w:fill="auto"/>
              </w:rPr>
              <w:t>3</w:t>
            </w:r>
          </w:p>
        </w:tc>
        <w:tc>
          <w:tcPr>
            <w:tcW w:w="475" w:type="dxa"/>
            <w:vMerge w:val="continue"/>
            <w:vAlign w:val="center"/>
          </w:tcPr>
          <w:p w14:paraId="2E1C59F5">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3FBB258C">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327AEE06">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1936A8AB">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006C995B">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34F980CD">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2026103</w:t>
            </w:r>
          </w:p>
        </w:tc>
        <w:tc>
          <w:tcPr>
            <w:tcW w:w="924" w:type="dxa"/>
            <w:vAlign w:val="center"/>
          </w:tcPr>
          <w:p w14:paraId="7AD6E25F">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6F451746">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外科学（骨外）专业 、骨科学专业</w:t>
            </w:r>
          </w:p>
        </w:tc>
        <w:tc>
          <w:tcPr>
            <w:tcW w:w="1236" w:type="dxa"/>
            <w:vAlign w:val="center"/>
          </w:tcPr>
          <w:p w14:paraId="541011DD">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研究生及以上</w:t>
            </w:r>
          </w:p>
        </w:tc>
        <w:tc>
          <w:tcPr>
            <w:tcW w:w="1056" w:type="dxa"/>
            <w:vAlign w:val="center"/>
          </w:tcPr>
          <w:p w14:paraId="66E2B51F">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硕士及以上</w:t>
            </w:r>
          </w:p>
        </w:tc>
        <w:tc>
          <w:tcPr>
            <w:tcW w:w="1200" w:type="dxa"/>
            <w:vAlign w:val="center"/>
          </w:tcPr>
          <w:p w14:paraId="28C3FA3E">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6864ADBE">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29A9DF2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创伤骨科</w:t>
            </w:r>
          </w:p>
        </w:tc>
      </w:tr>
      <w:tr w14:paraId="7CE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18" w:type="dxa"/>
            <w:vAlign w:val="center"/>
          </w:tcPr>
          <w:p w14:paraId="457C5DAC">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4</w:t>
            </w:r>
          </w:p>
        </w:tc>
        <w:tc>
          <w:tcPr>
            <w:tcW w:w="475" w:type="dxa"/>
            <w:vMerge w:val="continue"/>
            <w:vAlign w:val="center"/>
          </w:tcPr>
          <w:p w14:paraId="5E5DDF57">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14D4D5ED">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5E19EE7B">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43B4B0F4">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7BF1EAC5">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31860D81">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2026104</w:t>
            </w:r>
          </w:p>
        </w:tc>
        <w:tc>
          <w:tcPr>
            <w:tcW w:w="924" w:type="dxa"/>
            <w:vAlign w:val="center"/>
          </w:tcPr>
          <w:p w14:paraId="7FB6809F">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035D6BE3">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内科学专业、急诊医学专业、全科医学专业</w:t>
            </w:r>
          </w:p>
        </w:tc>
        <w:tc>
          <w:tcPr>
            <w:tcW w:w="1236" w:type="dxa"/>
            <w:vAlign w:val="center"/>
          </w:tcPr>
          <w:p w14:paraId="28A92C47">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研究生及以上</w:t>
            </w:r>
          </w:p>
        </w:tc>
        <w:tc>
          <w:tcPr>
            <w:tcW w:w="1056" w:type="dxa"/>
            <w:vAlign w:val="center"/>
          </w:tcPr>
          <w:p w14:paraId="4E201C2F">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硕士及以上</w:t>
            </w:r>
          </w:p>
        </w:tc>
        <w:tc>
          <w:tcPr>
            <w:tcW w:w="1200" w:type="dxa"/>
            <w:vAlign w:val="center"/>
          </w:tcPr>
          <w:p w14:paraId="45DF4672">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5ACBCDF6">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24A162AA">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经开院区综合内科</w:t>
            </w:r>
          </w:p>
        </w:tc>
      </w:tr>
      <w:tr w14:paraId="31AB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18" w:type="dxa"/>
            <w:vAlign w:val="center"/>
          </w:tcPr>
          <w:p w14:paraId="6F7293E3">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5</w:t>
            </w:r>
          </w:p>
        </w:tc>
        <w:tc>
          <w:tcPr>
            <w:tcW w:w="475" w:type="dxa"/>
            <w:vMerge w:val="continue"/>
            <w:vAlign w:val="center"/>
          </w:tcPr>
          <w:p w14:paraId="37378121">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04739D40">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1E00CC88">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230DB0AB">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030C5FDF">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36FA3B4D">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2026105</w:t>
            </w:r>
          </w:p>
        </w:tc>
        <w:tc>
          <w:tcPr>
            <w:tcW w:w="924" w:type="dxa"/>
            <w:vAlign w:val="center"/>
          </w:tcPr>
          <w:p w14:paraId="55BB276F">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26F9CC4A">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康复医学与理疗学专业、针灸推拿学专业</w:t>
            </w:r>
          </w:p>
        </w:tc>
        <w:tc>
          <w:tcPr>
            <w:tcW w:w="1236" w:type="dxa"/>
            <w:vAlign w:val="center"/>
          </w:tcPr>
          <w:p w14:paraId="251719BC">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研究生及以上</w:t>
            </w:r>
          </w:p>
        </w:tc>
        <w:tc>
          <w:tcPr>
            <w:tcW w:w="1056" w:type="dxa"/>
            <w:vAlign w:val="center"/>
          </w:tcPr>
          <w:p w14:paraId="25934C3E">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硕士及以上</w:t>
            </w:r>
          </w:p>
        </w:tc>
        <w:tc>
          <w:tcPr>
            <w:tcW w:w="1200" w:type="dxa"/>
            <w:vAlign w:val="center"/>
          </w:tcPr>
          <w:p w14:paraId="6BF0D92D">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29D79178">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3B459F3B">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康复医学科</w:t>
            </w:r>
          </w:p>
        </w:tc>
      </w:tr>
      <w:tr w14:paraId="0A49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518" w:type="dxa"/>
            <w:vAlign w:val="center"/>
          </w:tcPr>
          <w:p w14:paraId="65FCE444">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6</w:t>
            </w:r>
          </w:p>
        </w:tc>
        <w:tc>
          <w:tcPr>
            <w:tcW w:w="475" w:type="dxa"/>
            <w:vMerge w:val="continue"/>
            <w:vAlign w:val="center"/>
          </w:tcPr>
          <w:p w14:paraId="0B0D7DD7">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27294403">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6A40E46A">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4B38FF5A">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008089F5">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349FF36C">
            <w:pPr>
              <w:spacing w:line="380" w:lineRule="exact"/>
              <w:jc w:val="center"/>
              <w:rPr>
                <w:rFonts w:hint="default" w:ascii="仿宋_GB2312" w:hAnsi="仿宋_GB2312" w:eastAsia="仿宋_GB2312" w:cs="仿宋_GB2312"/>
                <w:color w:val="auto"/>
                <w:shd w:val="clear" w:color="auto" w:fill="auto"/>
                <w:lang w:val="en-US"/>
              </w:rPr>
            </w:pPr>
            <w:r>
              <w:rPr>
                <w:rFonts w:hint="eastAsia" w:ascii="仿宋_GB2312" w:hAnsi="仿宋_GB2312" w:eastAsia="仿宋_GB2312" w:cs="仿宋_GB2312"/>
                <w:color w:val="auto"/>
                <w:shd w:val="clear" w:color="auto" w:fill="auto"/>
                <w:lang w:val="en-US" w:eastAsia="zh-CN"/>
              </w:rPr>
              <w:t>2026106</w:t>
            </w:r>
          </w:p>
        </w:tc>
        <w:tc>
          <w:tcPr>
            <w:tcW w:w="924" w:type="dxa"/>
            <w:vAlign w:val="center"/>
          </w:tcPr>
          <w:p w14:paraId="553DA044">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0A1EA229">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 xml:space="preserve">精神病与精神卫生学专业 </w:t>
            </w:r>
          </w:p>
        </w:tc>
        <w:tc>
          <w:tcPr>
            <w:tcW w:w="1236" w:type="dxa"/>
            <w:vAlign w:val="center"/>
          </w:tcPr>
          <w:p w14:paraId="1D33360E">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研究生及以上</w:t>
            </w:r>
          </w:p>
        </w:tc>
        <w:tc>
          <w:tcPr>
            <w:tcW w:w="1056" w:type="dxa"/>
            <w:vAlign w:val="center"/>
          </w:tcPr>
          <w:p w14:paraId="21562CE3">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硕士及以上</w:t>
            </w:r>
          </w:p>
        </w:tc>
        <w:tc>
          <w:tcPr>
            <w:tcW w:w="1200" w:type="dxa"/>
            <w:vAlign w:val="center"/>
          </w:tcPr>
          <w:p w14:paraId="629F4C5D">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13025D22">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2BB51B59">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神经内科</w:t>
            </w:r>
          </w:p>
        </w:tc>
      </w:tr>
      <w:tr w14:paraId="77CC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14:paraId="28ECB7A2">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7</w:t>
            </w:r>
          </w:p>
        </w:tc>
        <w:tc>
          <w:tcPr>
            <w:tcW w:w="475" w:type="dxa"/>
            <w:vMerge w:val="continue"/>
            <w:vAlign w:val="center"/>
          </w:tcPr>
          <w:p w14:paraId="5C37CF7F">
            <w:pPr>
              <w:spacing w:line="380" w:lineRule="exact"/>
              <w:jc w:val="center"/>
              <w:rPr>
                <w:rFonts w:hint="eastAsia" w:ascii="仿宋_GB2312" w:hAnsi="仿宋_GB2312" w:eastAsia="仿宋_GB2312" w:cs="仿宋_GB2312"/>
                <w:color w:val="auto"/>
                <w:shd w:val="clear" w:color="auto" w:fill="auto"/>
              </w:rPr>
            </w:pPr>
          </w:p>
        </w:tc>
        <w:tc>
          <w:tcPr>
            <w:tcW w:w="567" w:type="dxa"/>
            <w:vMerge w:val="restart"/>
            <w:vAlign w:val="center"/>
          </w:tcPr>
          <w:p w14:paraId="46F054BC">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23EF0496">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3384E62E">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0FDC8086">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40E25B8A">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2026107</w:t>
            </w:r>
          </w:p>
        </w:tc>
        <w:tc>
          <w:tcPr>
            <w:tcW w:w="924" w:type="dxa"/>
            <w:vAlign w:val="center"/>
          </w:tcPr>
          <w:p w14:paraId="65C74A96">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13663B42">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影像医学与核医学专业</w:t>
            </w:r>
          </w:p>
        </w:tc>
        <w:tc>
          <w:tcPr>
            <w:tcW w:w="1236" w:type="dxa"/>
            <w:vAlign w:val="center"/>
          </w:tcPr>
          <w:p w14:paraId="1B90D7C3">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研究生及以上</w:t>
            </w:r>
          </w:p>
        </w:tc>
        <w:tc>
          <w:tcPr>
            <w:tcW w:w="1056" w:type="dxa"/>
            <w:vAlign w:val="center"/>
          </w:tcPr>
          <w:p w14:paraId="1597C3B5">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硕士及以上</w:t>
            </w:r>
          </w:p>
        </w:tc>
        <w:tc>
          <w:tcPr>
            <w:tcW w:w="1200" w:type="dxa"/>
            <w:vAlign w:val="center"/>
          </w:tcPr>
          <w:p w14:paraId="7E01636A">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5D8AA7A1">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0EAE36FC">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医学影像科</w:t>
            </w:r>
          </w:p>
        </w:tc>
      </w:tr>
      <w:tr w14:paraId="79B6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518" w:type="dxa"/>
            <w:vAlign w:val="center"/>
          </w:tcPr>
          <w:p w14:paraId="1F208C4A">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8</w:t>
            </w:r>
          </w:p>
        </w:tc>
        <w:tc>
          <w:tcPr>
            <w:tcW w:w="475" w:type="dxa"/>
            <w:vMerge w:val="continue"/>
            <w:vAlign w:val="center"/>
          </w:tcPr>
          <w:p w14:paraId="3F18E75A">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14:paraId="6EED9379">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14:paraId="50A1BBB2">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14:paraId="50D05883">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14:paraId="23837CAA">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lang w:val="en-US" w:eastAsia="zh-CN"/>
              </w:rPr>
              <w:t>专业技术</w:t>
            </w:r>
          </w:p>
        </w:tc>
        <w:tc>
          <w:tcPr>
            <w:tcW w:w="1051" w:type="dxa"/>
            <w:vAlign w:val="center"/>
          </w:tcPr>
          <w:p w14:paraId="72F120D8">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2026108</w:t>
            </w:r>
          </w:p>
        </w:tc>
        <w:tc>
          <w:tcPr>
            <w:tcW w:w="924" w:type="dxa"/>
            <w:vAlign w:val="center"/>
          </w:tcPr>
          <w:p w14:paraId="44E45C59">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1</w:t>
            </w:r>
          </w:p>
        </w:tc>
        <w:tc>
          <w:tcPr>
            <w:tcW w:w="1620" w:type="dxa"/>
            <w:vAlign w:val="center"/>
          </w:tcPr>
          <w:p w14:paraId="09A240A7">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影像医学与核医学专业、超声医学专业</w:t>
            </w:r>
          </w:p>
        </w:tc>
        <w:tc>
          <w:tcPr>
            <w:tcW w:w="1236" w:type="dxa"/>
            <w:vAlign w:val="center"/>
          </w:tcPr>
          <w:p w14:paraId="7C11907D">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研究生及以上</w:t>
            </w:r>
          </w:p>
        </w:tc>
        <w:tc>
          <w:tcPr>
            <w:tcW w:w="1056" w:type="dxa"/>
            <w:vAlign w:val="center"/>
          </w:tcPr>
          <w:p w14:paraId="7A8A7C6A">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硕士及以上</w:t>
            </w:r>
          </w:p>
        </w:tc>
        <w:tc>
          <w:tcPr>
            <w:tcW w:w="1200" w:type="dxa"/>
            <w:vAlign w:val="center"/>
          </w:tcPr>
          <w:p w14:paraId="5474E621">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rPr>
              <w:t>3</w:t>
            </w:r>
            <w:r>
              <w:rPr>
                <w:rFonts w:hint="eastAsia" w:ascii="仿宋_GB2312" w:hAnsi="仿宋_GB2312" w:eastAsia="仿宋_GB2312" w:cs="仿宋_GB2312"/>
                <w:color w:val="auto"/>
                <w:shd w:val="clear" w:color="auto" w:fill="auto"/>
                <w:lang w:val="en-US" w:eastAsia="zh-CN"/>
              </w:rPr>
              <w:t>8</w:t>
            </w:r>
            <w:r>
              <w:rPr>
                <w:rFonts w:hint="eastAsia" w:ascii="仿宋_GB2312" w:hAnsi="仿宋_GB2312" w:eastAsia="仿宋_GB2312" w:cs="仿宋_GB2312"/>
                <w:color w:val="auto"/>
                <w:shd w:val="clear" w:color="auto" w:fill="auto"/>
              </w:rPr>
              <w:t>周岁及以下</w:t>
            </w:r>
          </w:p>
        </w:tc>
        <w:tc>
          <w:tcPr>
            <w:tcW w:w="2688" w:type="dxa"/>
            <w:vAlign w:val="center"/>
          </w:tcPr>
          <w:p w14:paraId="05600345">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初级及以下职称要求具备医师资格证书和住院医师规范化培训合格证书或提供2026年住培结束证明</w:t>
            </w:r>
          </w:p>
        </w:tc>
        <w:tc>
          <w:tcPr>
            <w:tcW w:w="1190" w:type="dxa"/>
            <w:vAlign w:val="center"/>
          </w:tcPr>
          <w:p w14:paraId="2040C8B2">
            <w:pPr>
              <w:spacing w:line="380" w:lineRule="exact"/>
              <w:jc w:val="center"/>
              <w:rPr>
                <w:rFonts w:hint="eastAsia"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心功能科（心超室）</w:t>
            </w:r>
          </w:p>
        </w:tc>
      </w:tr>
    </w:tbl>
    <w:p w14:paraId="02FD3D4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A6DD0EF-7EAF-4FFB-B6E5-09ED8DAA141D}"/>
  </w:font>
  <w:font w:name="方正小标宋简体">
    <w:panose1 w:val="02010600010101010101"/>
    <w:charset w:val="86"/>
    <w:family w:val="auto"/>
    <w:pitch w:val="default"/>
    <w:sig w:usb0="00000001" w:usb1="080E0000" w:usb2="00000000" w:usb3="00000000" w:csb0="00040000" w:csb1="00000000"/>
    <w:embedRegular r:id="rId2" w:fontKey="{78657D48-09A0-49FF-8404-2D2443148529}"/>
  </w:font>
  <w:font w:name="仿宋_GB2312">
    <w:panose1 w:val="02010609030101010101"/>
    <w:charset w:val="86"/>
    <w:family w:val="auto"/>
    <w:pitch w:val="default"/>
    <w:sig w:usb0="00000001" w:usb1="080E0000" w:usb2="00000000" w:usb3="00000000" w:csb0="00040000" w:csb1="00000000"/>
    <w:embedRegular r:id="rId3" w:fontKey="{6C6A4D7C-24E6-4177-B208-98FAC50DDC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3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2026-03-18T06:20:47Z</dcterms:created>
  <dc:creator>Administrator</dc:creator>
  <cp:lastModifiedBy>susan</cp:lastModifiedBy>
  <dcterms:modified xsi:type="dcterms:W3CDTF">2026-03-18T06:21:13Z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eyJoZGlkIjoiMzg4N2UwODJjYzNhYjFhYmU0Y2NlZDE1NDNmNWE5YjUiLCJ1c2VySWQiOiI1NjIyMjA5NDMifQ==</vt:lpwstr>
  </property>
  <property fmtid="{D5CDD505-2E9C-101B-9397-08002B2CF9AE}" pid="4" name="ICV">
    <vt:lpwstr>BFD97C000D86429DB8F88CE8062B2135_12</vt:lpwstr>
  </property>
</Properties>
</file>