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7B0EE">
      <w:pPr>
        <w:spacing w:line="500" w:lineRule="exact"/>
        <w:rPr>
          <w:rFonts w:ascii="仿宋_GB2312" w:hAnsi="仿宋_GB2312" w:eastAsia="仿宋_GB2312" w:cs="仿宋_GB2312"/>
          <w:color w:val="000000"/>
          <w:sz w:val="28"/>
          <w:szCs w:val="28"/>
          <w:highlight w:val="none"/>
        </w:rPr>
      </w:pPr>
      <w:r>
        <w:rPr>
          <w:rFonts w:hint="eastAsia" w:ascii="黑体" w:hAnsi="黑体" w:eastAsia="黑体" w:cs="黑体"/>
          <w:color w:val="000000"/>
          <w:spacing w:val="-6"/>
          <w:sz w:val="28"/>
          <w:szCs w:val="28"/>
          <w:highlight w:val="none"/>
        </w:rPr>
        <w:t>附件2</w:t>
      </w:r>
    </w:p>
    <w:p w14:paraId="12F009E9">
      <w:pPr>
        <w:spacing w:line="500" w:lineRule="exact"/>
        <w:jc w:val="center"/>
        <w:rPr>
          <w:rFonts w:hint="eastAsia" w:ascii="方正小标宋简体" w:hAnsi="方正小标宋简体" w:eastAsia="方正小标宋简体" w:cs="方正小标宋简体"/>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报考须知</w:t>
      </w:r>
      <w:bookmarkStart w:id="0" w:name="_GoBack"/>
      <w:bookmarkEnd w:id="0"/>
    </w:p>
    <w:p w14:paraId="23BA8E5D">
      <w:pPr>
        <w:spacing w:line="500" w:lineRule="exact"/>
        <w:ind w:firstLine="560" w:firstLineChars="200"/>
        <w:rPr>
          <w:rFonts w:hint="eastAsia" w:ascii="黑体" w:hAnsi="黑体" w:eastAsia="黑体" w:cs="黑体"/>
          <w:color w:val="000000"/>
          <w:sz w:val="28"/>
          <w:szCs w:val="28"/>
          <w:highlight w:val="none"/>
        </w:rPr>
      </w:pPr>
    </w:p>
    <w:p w14:paraId="6A1FD4AA">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一、网上填写报名信息时应注意什么？</w:t>
      </w:r>
    </w:p>
    <w:p w14:paraId="68A14770">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报名时，</w:t>
      </w:r>
      <w:r>
        <w:rPr>
          <w:rFonts w:hint="eastAsia" w:ascii="仿宋_GB2312" w:hAnsi="仿宋_GB2312" w:eastAsia="仿宋_GB2312" w:cs="仿宋_GB2312"/>
          <w:color w:val="000000"/>
          <w:sz w:val="28"/>
          <w:szCs w:val="28"/>
          <w:highlight w:val="none"/>
        </w:rPr>
        <w:t>报考人员</w:t>
      </w:r>
      <w:r>
        <w:rPr>
          <w:rFonts w:ascii="仿宋_GB2312" w:hAnsi="仿宋_GB2312" w:eastAsia="仿宋_GB2312" w:cs="仿宋_GB2312"/>
          <w:color w:val="000000"/>
          <w:sz w:val="28"/>
          <w:szCs w:val="28"/>
          <w:highlight w:val="none"/>
        </w:rPr>
        <w:t>要认真阅读网上报名系统有关提示说明和诚信承诺书，提交的报名申请材料必须真实、准确、完整，能够体现</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岗位的要求。因提交报名申请材料不准确、不完整、不符合要求，影响网上报名的，由</w:t>
      </w:r>
      <w:r>
        <w:rPr>
          <w:rFonts w:hint="eastAsia" w:ascii="仿宋_GB2312" w:hAnsi="仿宋_GB2312" w:eastAsia="仿宋_GB2312" w:cs="仿宋_GB2312"/>
          <w:color w:val="000000"/>
          <w:sz w:val="28"/>
          <w:szCs w:val="28"/>
          <w:highlight w:val="none"/>
        </w:rPr>
        <w:t>报考人员</w:t>
      </w:r>
      <w:r>
        <w:rPr>
          <w:rFonts w:ascii="仿宋_GB2312" w:hAnsi="仿宋_GB2312" w:eastAsia="仿宋_GB2312" w:cs="仿宋_GB2312"/>
          <w:color w:val="000000"/>
          <w:sz w:val="28"/>
          <w:szCs w:val="28"/>
          <w:highlight w:val="none"/>
        </w:rPr>
        <w:t>本人承担相应后果。</w:t>
      </w:r>
      <w:r>
        <w:rPr>
          <w:rFonts w:hint="eastAsia" w:ascii="仿宋_GB2312" w:hAnsi="仿宋_GB2312" w:eastAsia="仿宋_GB2312" w:cs="仿宋_GB2312"/>
          <w:color w:val="000000"/>
          <w:sz w:val="28"/>
          <w:szCs w:val="28"/>
          <w:highlight w:val="none"/>
        </w:rPr>
        <w:t>报考人员</w:t>
      </w:r>
      <w:r>
        <w:rPr>
          <w:rFonts w:ascii="仿宋_GB2312" w:hAnsi="仿宋_GB2312" w:eastAsia="仿宋_GB2312" w:cs="仿宋_GB2312"/>
          <w:color w:val="000000"/>
          <w:sz w:val="28"/>
          <w:szCs w:val="28"/>
          <w:highlight w:val="none"/>
        </w:rPr>
        <w:t>的申请材料、信息不实或者不符合报名条件的，一经查实，即取消</w:t>
      </w:r>
      <w:r>
        <w:rPr>
          <w:rFonts w:hint="eastAsia" w:ascii="仿宋_GB2312" w:hAnsi="仿宋_GB2312" w:eastAsia="仿宋_GB2312" w:cs="仿宋_GB2312"/>
          <w:color w:val="000000"/>
          <w:sz w:val="28"/>
          <w:szCs w:val="28"/>
          <w:highlight w:val="none"/>
        </w:rPr>
        <w:t>选调资格</w:t>
      </w:r>
      <w:r>
        <w:rPr>
          <w:rFonts w:ascii="仿宋_GB2312" w:hAnsi="仿宋_GB2312" w:eastAsia="仿宋_GB2312" w:cs="仿宋_GB2312"/>
          <w:color w:val="000000"/>
          <w:sz w:val="28"/>
          <w:szCs w:val="28"/>
          <w:highlight w:val="none"/>
        </w:rPr>
        <w:t>。对伪造、变造有关证件、材料、信息，骗取考试资格的，按照有关规定处理。</w:t>
      </w:r>
    </w:p>
    <w:p w14:paraId="1D9C4B92">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网上报名系统的表项中未能涵盖</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sz w:val="28"/>
          <w:szCs w:val="28"/>
          <w:highlight w:val="none"/>
        </w:rPr>
        <w:t>在面试资格审查</w:t>
      </w:r>
      <w:r>
        <w:rPr>
          <w:rFonts w:ascii="仿宋_GB2312" w:hAnsi="仿宋_GB2312" w:eastAsia="仿宋_GB2312" w:cs="仿宋_GB2312"/>
          <w:color w:val="000000"/>
          <w:sz w:val="28"/>
          <w:szCs w:val="28"/>
          <w:highlight w:val="none"/>
        </w:rPr>
        <w:t>前取得证书的承诺，未如期取得，本人承担相应后果。</w:t>
      </w:r>
    </w:p>
    <w:p w14:paraId="29B5FF55">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家庭成员及其主要社会关系，须填写姓名、工作单位及职务。学习和工作（待业）经历须从高中阶段起填写至报名时止，不得间断。</w:t>
      </w:r>
    </w:p>
    <w:p w14:paraId="7B21AC05">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参考往年情况，一般报名初始阶段人数较少，后期尤其是最后两天报名比较集中，可能影响</w:t>
      </w:r>
      <w:r>
        <w:rPr>
          <w:rFonts w:hint="eastAsia" w:ascii="仿宋_GB2312" w:hAnsi="仿宋_GB2312" w:eastAsia="仿宋_GB2312" w:cs="仿宋_GB2312"/>
          <w:color w:val="000000"/>
          <w:sz w:val="28"/>
          <w:szCs w:val="28"/>
          <w:highlight w:val="none"/>
        </w:rPr>
        <w:t>报名</w:t>
      </w:r>
      <w:r>
        <w:rPr>
          <w:rFonts w:ascii="仿宋_GB2312" w:hAnsi="仿宋_GB2312" w:eastAsia="仿宋_GB2312" w:cs="仿宋_GB2312"/>
          <w:color w:val="000000"/>
          <w:sz w:val="28"/>
          <w:szCs w:val="28"/>
          <w:highlight w:val="none"/>
        </w:rPr>
        <w:t>进度。建议</w:t>
      </w:r>
      <w:r>
        <w:rPr>
          <w:rFonts w:hint="eastAsia" w:ascii="仿宋_GB2312" w:hAnsi="仿宋_GB2312" w:eastAsia="仿宋_GB2312" w:cs="仿宋_GB2312"/>
          <w:color w:val="000000"/>
          <w:sz w:val="28"/>
          <w:szCs w:val="28"/>
          <w:highlight w:val="none"/>
        </w:rPr>
        <w:t>报考人员</w:t>
      </w:r>
      <w:r>
        <w:rPr>
          <w:rFonts w:ascii="仿宋_GB2312" w:hAnsi="仿宋_GB2312" w:eastAsia="仿宋_GB2312" w:cs="仿宋_GB2312"/>
          <w:color w:val="000000"/>
          <w:sz w:val="28"/>
          <w:szCs w:val="28"/>
          <w:highlight w:val="none"/>
        </w:rPr>
        <w:t>合理安排报名时间，根据本人的专业、意愿和职业规划等尽早报名，尽量在网速较快的环境报名，尽量避免后期集中报名，以免错失报名机会。</w:t>
      </w:r>
    </w:p>
    <w:p w14:paraId="0ABDDE40">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二、专业如何认定？</w:t>
      </w:r>
    </w:p>
    <w:p w14:paraId="2A0580D0">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E3E41EA">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3313F31B">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0EFBFC1D">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6C67FA9E">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362954BE">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国内非普通高等学历教育的其他国民教育形式（自学考试、成人教育、网络教育、夜大、电大等）毕业生取得毕业证（学位证），符合岗位要求资格条件的，均可应聘。</w:t>
      </w:r>
      <w:r>
        <w:rPr>
          <w:rFonts w:ascii="仿宋_GB2312" w:hAnsi="仿宋_GB2312" w:eastAsia="仿宋_GB2312" w:cs="仿宋_GB2312"/>
          <w:color w:val="000000"/>
          <w:sz w:val="28"/>
          <w:szCs w:val="28"/>
          <w:highlight w:val="none"/>
        </w:rPr>
        <w:t>党校教育的学历，符合</w:t>
      </w:r>
      <w:r>
        <w:rPr>
          <w:rFonts w:hint="eastAsia" w:ascii="仿宋_GB2312" w:hAnsi="仿宋_GB2312" w:eastAsia="仿宋_GB2312" w:cs="仿宋_GB2312"/>
          <w:color w:val="000000"/>
          <w:sz w:val="28"/>
          <w:szCs w:val="28"/>
          <w:highlight w:val="none"/>
        </w:rPr>
        <w:t>招聘岗位</w:t>
      </w:r>
      <w:r>
        <w:rPr>
          <w:rFonts w:ascii="仿宋_GB2312" w:hAnsi="仿宋_GB2312" w:eastAsia="仿宋_GB2312" w:cs="仿宋_GB2312"/>
          <w:color w:val="000000"/>
          <w:sz w:val="28"/>
          <w:szCs w:val="28"/>
          <w:highlight w:val="none"/>
        </w:rPr>
        <w:t>资格条件的，可以报考。</w:t>
      </w:r>
    </w:p>
    <w:p w14:paraId="35B904AA">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对</w:t>
      </w:r>
      <w:r>
        <w:rPr>
          <w:rFonts w:hint="eastAsia" w:ascii="仿宋_GB2312" w:hAnsi="仿宋_GB2312" w:eastAsia="仿宋_GB2312" w:cs="仿宋_GB2312"/>
          <w:color w:val="000000"/>
          <w:sz w:val="28"/>
          <w:szCs w:val="28"/>
          <w:highlight w:val="none"/>
        </w:rPr>
        <w:t>个别涉及</w:t>
      </w:r>
      <w:r>
        <w:rPr>
          <w:rFonts w:ascii="仿宋_GB2312" w:hAnsi="仿宋_GB2312" w:eastAsia="仿宋_GB2312" w:cs="仿宋_GB2312"/>
          <w:color w:val="000000"/>
          <w:sz w:val="28"/>
          <w:szCs w:val="28"/>
          <w:highlight w:val="none"/>
        </w:rPr>
        <w:t>专业</w:t>
      </w:r>
      <w:r>
        <w:rPr>
          <w:rFonts w:hint="eastAsia" w:ascii="仿宋_GB2312" w:hAnsi="仿宋_GB2312" w:eastAsia="仿宋_GB2312" w:cs="仿宋_GB2312"/>
          <w:color w:val="000000"/>
          <w:sz w:val="28"/>
          <w:szCs w:val="28"/>
          <w:highlight w:val="none"/>
        </w:rPr>
        <w:t>名称及代码等</w:t>
      </w:r>
      <w:r>
        <w:rPr>
          <w:rFonts w:ascii="仿宋_GB2312" w:hAnsi="仿宋_GB2312" w:eastAsia="仿宋_GB2312" w:cs="仿宋_GB2312"/>
          <w:color w:val="000000"/>
          <w:sz w:val="28"/>
          <w:szCs w:val="28"/>
          <w:highlight w:val="none"/>
        </w:rPr>
        <w:t>调整的</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以国家教育部门发文为</w:t>
      </w:r>
      <w:r>
        <w:rPr>
          <w:rFonts w:hint="eastAsia" w:ascii="仿宋_GB2312" w:hAnsi="仿宋_GB2312" w:eastAsia="仿宋_GB2312" w:cs="仿宋_GB2312"/>
          <w:color w:val="000000"/>
          <w:sz w:val="28"/>
          <w:szCs w:val="28"/>
          <w:highlight w:val="none"/>
        </w:rPr>
        <w:t>依据进行认定</w:t>
      </w:r>
      <w:r>
        <w:rPr>
          <w:rFonts w:ascii="仿宋_GB2312" w:hAnsi="仿宋_GB2312" w:eastAsia="仿宋_GB2312" w:cs="仿宋_GB2312"/>
          <w:color w:val="000000"/>
          <w:sz w:val="28"/>
          <w:szCs w:val="28"/>
          <w:highlight w:val="none"/>
        </w:rPr>
        <w:t>。出现新旧专业比对认定争议时,原则上以</w:t>
      </w:r>
      <w:r>
        <w:rPr>
          <w:rFonts w:hint="eastAsia" w:ascii="仿宋_GB2312" w:hAnsi="仿宋_GB2312" w:eastAsia="仿宋_GB2312" w:cs="仿宋_GB2312"/>
          <w:color w:val="000000"/>
          <w:sz w:val="28"/>
          <w:szCs w:val="28"/>
          <w:highlight w:val="none"/>
        </w:rPr>
        <w:t>报考人员</w:t>
      </w:r>
      <w:r>
        <w:rPr>
          <w:rFonts w:ascii="仿宋_GB2312" w:hAnsi="仿宋_GB2312" w:eastAsia="仿宋_GB2312" w:cs="仿宋_GB2312"/>
          <w:color w:val="000000"/>
          <w:sz w:val="28"/>
          <w:szCs w:val="28"/>
          <w:highlight w:val="none"/>
        </w:rPr>
        <w:t>就读高等学校依据教育部下发的关于新旧学科专业调整的有效文件或</w:t>
      </w:r>
      <w:r>
        <w:rPr>
          <w:rFonts w:hint="eastAsia" w:ascii="仿宋_GB2312" w:hAnsi="仿宋_GB2312" w:eastAsia="仿宋_GB2312" w:cs="仿宋_GB2312"/>
          <w:color w:val="000000"/>
          <w:sz w:val="28"/>
          <w:szCs w:val="28"/>
          <w:highlight w:val="none"/>
        </w:rPr>
        <w:t>报考人员</w:t>
      </w:r>
      <w:r>
        <w:rPr>
          <w:rFonts w:ascii="仿宋_GB2312" w:hAnsi="仿宋_GB2312" w:eastAsia="仿宋_GB2312" w:cs="仿宋_GB2312"/>
          <w:color w:val="000000"/>
          <w:sz w:val="28"/>
          <w:szCs w:val="28"/>
          <w:highlight w:val="none"/>
        </w:rPr>
        <w:t>就读的高等学校依据</w:t>
      </w:r>
      <w:r>
        <w:rPr>
          <w:rFonts w:hint="eastAsia" w:ascii="仿宋_GB2312" w:hAnsi="仿宋_GB2312" w:eastAsia="仿宋_GB2312" w:cs="仿宋_GB2312"/>
          <w:color w:val="000000"/>
          <w:sz w:val="28"/>
          <w:szCs w:val="28"/>
          <w:highlight w:val="none"/>
        </w:rPr>
        <w:t>市级</w:t>
      </w:r>
      <w:r>
        <w:rPr>
          <w:rFonts w:ascii="仿宋_GB2312" w:hAnsi="仿宋_GB2312" w:eastAsia="仿宋_GB2312" w:cs="仿宋_GB2312"/>
          <w:color w:val="000000"/>
          <w:sz w:val="28"/>
          <w:szCs w:val="28"/>
          <w:highlight w:val="none"/>
        </w:rPr>
        <w:t>以上教育部门有关文件</w:t>
      </w:r>
      <w:r>
        <w:rPr>
          <w:rFonts w:hint="eastAsia" w:ascii="仿宋_GB2312" w:hAnsi="仿宋_GB2312" w:eastAsia="仿宋_GB2312" w:cs="仿宋_GB2312"/>
          <w:color w:val="000000"/>
          <w:sz w:val="28"/>
          <w:szCs w:val="28"/>
          <w:highlight w:val="none"/>
        </w:rPr>
        <w:t>或</w:t>
      </w:r>
      <w:r>
        <w:rPr>
          <w:rFonts w:ascii="仿宋_GB2312" w:hAnsi="仿宋_GB2312" w:eastAsia="仿宋_GB2312" w:cs="仿宋_GB2312"/>
          <w:color w:val="000000"/>
          <w:sz w:val="28"/>
          <w:szCs w:val="28"/>
          <w:highlight w:val="none"/>
        </w:rPr>
        <w:t>有关规定出具的有效专业证明材料进行</w:t>
      </w:r>
      <w:r>
        <w:rPr>
          <w:rFonts w:hint="eastAsia" w:ascii="仿宋_GB2312" w:hAnsi="仿宋_GB2312" w:eastAsia="仿宋_GB2312" w:cs="仿宋_GB2312"/>
          <w:color w:val="000000"/>
          <w:sz w:val="28"/>
          <w:szCs w:val="28"/>
          <w:highlight w:val="none"/>
        </w:rPr>
        <w:t>综合认定</w:t>
      </w:r>
      <w:r>
        <w:rPr>
          <w:rFonts w:ascii="仿宋_GB2312" w:hAnsi="仿宋_GB2312" w:eastAsia="仿宋_GB2312" w:cs="仿宋_GB2312"/>
          <w:color w:val="000000"/>
          <w:sz w:val="28"/>
          <w:szCs w:val="28"/>
          <w:highlight w:val="none"/>
        </w:rPr>
        <w:t>。</w:t>
      </w:r>
    </w:p>
    <w:p w14:paraId="5A269BCE">
      <w:pPr>
        <w:spacing w:line="50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 xml:space="preserve"> 三</w:t>
      </w:r>
      <w:r>
        <w:rPr>
          <w:rFonts w:ascii="黑体" w:hAnsi="黑体" w:eastAsia="黑体" w:cs="黑体"/>
          <w:color w:val="000000"/>
          <w:sz w:val="28"/>
          <w:szCs w:val="28"/>
          <w:highlight w:val="none"/>
        </w:rPr>
        <w:t>、本次</w:t>
      </w:r>
      <w:r>
        <w:rPr>
          <w:rFonts w:hint="eastAsia" w:ascii="黑体" w:hAnsi="黑体" w:eastAsia="黑体" w:cs="黑体"/>
          <w:color w:val="000000"/>
          <w:sz w:val="28"/>
          <w:szCs w:val="28"/>
          <w:highlight w:val="none"/>
        </w:rPr>
        <w:t>选调</w:t>
      </w:r>
      <w:r>
        <w:rPr>
          <w:rFonts w:ascii="黑体" w:hAnsi="黑体" w:eastAsia="黑体" w:cs="黑体"/>
          <w:color w:val="000000"/>
          <w:sz w:val="28"/>
          <w:szCs w:val="28"/>
          <w:highlight w:val="none"/>
        </w:rPr>
        <w:t>中要求的有效身份证件指的是什么？</w:t>
      </w:r>
    </w:p>
    <w:p w14:paraId="7CD3CD46">
      <w:pPr>
        <w:spacing w:line="500" w:lineRule="exact"/>
        <w:ind w:firstLine="560" w:firstLineChars="20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有效身份证件包括有效期限内的居民身份证、社会保障卡&lt;含照片&gt;</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港澳居民来往内地通行证、</w:t>
      </w:r>
      <w:r>
        <w:rPr>
          <w:rFonts w:hint="eastAsia" w:ascii="仿宋_GB2312" w:hAnsi="仿宋_GB2312" w:eastAsia="仿宋_GB2312" w:cs="仿宋_GB2312"/>
          <w:color w:val="000000"/>
          <w:sz w:val="28"/>
          <w:szCs w:val="28"/>
          <w:highlight w:val="none"/>
        </w:rPr>
        <w:t>中华人民共和国台湾居民居住证、</w:t>
      </w:r>
      <w:r>
        <w:rPr>
          <w:rFonts w:ascii="仿宋_GB2312" w:hAnsi="仿宋_GB2312" w:eastAsia="仿宋_GB2312" w:cs="仿宋_GB2312"/>
          <w:color w:val="000000"/>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000000"/>
          <w:sz w:val="28"/>
          <w:szCs w:val="28"/>
          <w:highlight w:val="none"/>
        </w:rPr>
        <w:t>。</w:t>
      </w:r>
    </w:p>
    <w:p w14:paraId="2977E922">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请考生妥善保管本人有效居民身份证件，过期或丢失的，请务必在考前及时到公安机关换领或补办。</w:t>
      </w:r>
    </w:p>
    <w:p w14:paraId="38E97929">
      <w:pPr>
        <w:spacing w:line="50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四</w:t>
      </w:r>
      <w:r>
        <w:rPr>
          <w:rFonts w:ascii="黑体" w:hAnsi="黑体" w:eastAsia="黑体" w:cs="黑体"/>
          <w:color w:val="000000"/>
          <w:sz w:val="28"/>
          <w:szCs w:val="28"/>
          <w:highlight w:val="none"/>
        </w:rPr>
        <w:t>、本次</w:t>
      </w:r>
      <w:r>
        <w:rPr>
          <w:rFonts w:hint="eastAsia" w:ascii="黑体" w:hAnsi="黑体" w:eastAsia="黑体" w:cs="黑体"/>
          <w:color w:val="000000"/>
          <w:sz w:val="28"/>
          <w:szCs w:val="28"/>
          <w:highlight w:val="none"/>
        </w:rPr>
        <w:t>选调</w:t>
      </w:r>
      <w:r>
        <w:rPr>
          <w:rFonts w:ascii="黑体" w:hAnsi="黑体" w:eastAsia="黑体" w:cs="黑体"/>
          <w:color w:val="000000"/>
          <w:sz w:val="28"/>
          <w:szCs w:val="28"/>
          <w:highlight w:val="none"/>
        </w:rPr>
        <w:t>中需提供哪些面试资格审查材料？</w:t>
      </w:r>
    </w:p>
    <w:p w14:paraId="11086977">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1.《应聘资格审查表》</w:t>
      </w:r>
      <w:r>
        <w:rPr>
          <w:rFonts w:hint="eastAsia" w:ascii="仿宋_GB2312" w:hAnsi="仿宋_GB2312" w:eastAsia="仿宋_GB2312" w:cs="仿宋_GB2312"/>
          <w:color w:val="000000"/>
          <w:sz w:val="28"/>
          <w:szCs w:val="28"/>
          <w:highlight w:val="none"/>
        </w:rPr>
        <w:t>2</w:t>
      </w:r>
      <w:r>
        <w:rPr>
          <w:rFonts w:ascii="仿宋_GB2312" w:hAnsi="仿宋_GB2312" w:eastAsia="仿宋_GB2312" w:cs="仿宋_GB2312"/>
          <w:color w:val="000000"/>
          <w:sz w:val="28"/>
          <w:szCs w:val="28"/>
          <w:highlight w:val="none"/>
        </w:rPr>
        <w:t>份（请在</w:t>
      </w:r>
      <w:r>
        <w:rPr>
          <w:rFonts w:hint="eastAsia" w:ascii="仿宋_GB2312" w:hAnsi="仿宋_GB2312" w:eastAsia="仿宋_GB2312" w:cs="仿宋_GB2312"/>
          <w:color w:val="000000"/>
          <w:sz w:val="28"/>
          <w:szCs w:val="28"/>
          <w:highlight w:val="none"/>
        </w:rPr>
        <w:t>成都人事考试网</w:t>
      </w:r>
      <w:r>
        <w:rPr>
          <w:rFonts w:ascii="仿宋_GB2312" w:hAnsi="仿宋_GB2312" w:eastAsia="仿宋_GB2312" w:cs="仿宋_GB2312"/>
          <w:color w:val="000000"/>
          <w:sz w:val="28"/>
          <w:szCs w:val="28"/>
          <w:highlight w:val="none"/>
        </w:rPr>
        <w:t>自行打印并按要求张贴近期2寸免冠证件照片）；</w:t>
      </w:r>
    </w:p>
    <w:p w14:paraId="3689F0FC">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2.身份证原件和复印件1份；</w:t>
      </w:r>
    </w:p>
    <w:p w14:paraId="7FE00F85">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3.有效的学位证（有学位要求的，下同）、毕业证原件和复印件1份。</w:t>
      </w:r>
    </w:p>
    <w:p w14:paraId="1C69BAEA">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rPr>
        <w:t>用人单位要求的</w:t>
      </w:r>
      <w:r>
        <w:rPr>
          <w:rFonts w:ascii="仿宋_GB2312" w:hAnsi="仿宋_GB2312" w:eastAsia="仿宋_GB2312" w:cs="仿宋_GB2312"/>
          <w:color w:val="000000"/>
          <w:sz w:val="28"/>
          <w:szCs w:val="28"/>
          <w:highlight w:val="none"/>
        </w:rPr>
        <w:t>其他与报考资格相关的材料。</w:t>
      </w:r>
    </w:p>
    <w:p w14:paraId="75965CC9">
      <w:pPr>
        <w:widowControl/>
        <w:spacing w:line="500" w:lineRule="exact"/>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5.选调工作属于组织行为，需</w:t>
      </w:r>
      <w:r>
        <w:rPr>
          <w:rFonts w:ascii="仿宋_GB2312" w:hAnsi="仿宋_GB2312" w:eastAsia="仿宋_GB2312" w:cs="仿宋_GB2312"/>
          <w:color w:val="000000"/>
          <w:sz w:val="28"/>
          <w:szCs w:val="28"/>
          <w:highlight w:val="none"/>
        </w:rPr>
        <w:t>提前征得</w:t>
      </w:r>
      <w:r>
        <w:rPr>
          <w:rFonts w:hint="eastAsia" w:ascii="仿宋_GB2312" w:hAnsi="仿宋_GB2312" w:eastAsia="仿宋_GB2312" w:cs="仿宋_GB2312"/>
          <w:color w:val="000000"/>
          <w:sz w:val="28"/>
          <w:szCs w:val="28"/>
          <w:highlight w:val="none"/>
        </w:rPr>
        <w:t>得有干部管理权限的主管部门或用人单位同意</w:t>
      </w:r>
      <w:r>
        <w:rPr>
          <w:rFonts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color w:val="000000"/>
          <w:sz w:val="28"/>
          <w:szCs w:val="28"/>
          <w:highlight w:val="none"/>
        </w:rPr>
        <w:t>面试</w:t>
      </w:r>
      <w:r>
        <w:rPr>
          <w:rFonts w:hint="eastAsia" w:ascii="仿宋_GB2312" w:hAnsi="仿宋_GB2312" w:eastAsia="仿宋_GB2312" w:cs="仿宋_GB2312"/>
          <w:color w:val="000000"/>
          <w:sz w:val="28"/>
          <w:szCs w:val="28"/>
          <w:highlight w:val="none"/>
        </w:rPr>
        <w:t>资格复审时提交，特殊情况下</w:t>
      </w:r>
      <w:r>
        <w:rPr>
          <w:rFonts w:ascii="仿宋_GB2312" w:hAnsi="仿宋_GB2312" w:eastAsia="仿宋_GB2312" w:cs="仿宋_GB2312"/>
          <w:color w:val="000000"/>
          <w:sz w:val="28"/>
          <w:szCs w:val="28"/>
          <w:highlight w:val="none"/>
        </w:rPr>
        <w:t>经</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单位同意可</w:t>
      </w:r>
      <w:r>
        <w:rPr>
          <w:rFonts w:hint="eastAsia" w:ascii="仿宋_GB2312" w:hAnsi="仿宋_GB2312" w:eastAsia="仿宋_GB2312" w:cs="仿宋_GB2312"/>
          <w:color w:val="000000"/>
          <w:sz w:val="28"/>
          <w:szCs w:val="28"/>
          <w:highlight w:val="none"/>
        </w:rPr>
        <w:t>不得晚于面试结束后5个工作日内提交。</w:t>
      </w:r>
      <w:r>
        <w:rPr>
          <w:rFonts w:hint="eastAsia" w:ascii="仿宋_GB2312" w:hAnsi="仿宋_GB2312" w:eastAsia="仿宋_GB2312" w:cs="仿宋_GB2312"/>
          <w:color w:val="000000"/>
          <w:sz w:val="28"/>
          <w:szCs w:val="28"/>
          <w:highlight w:val="none"/>
          <w:shd w:val="pct10" w:color="auto" w:fill="FFFFFF"/>
          <w:lang w:val="en-US" w:eastAsia="zh-CN" w:bidi="ar"/>
        </w:rPr>
        <w:t xml:space="preserve"> </w:t>
      </w:r>
    </w:p>
    <w:p w14:paraId="370B7979">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w:t>
      </w:r>
      <w:r>
        <w:rPr>
          <w:rFonts w:ascii="仿宋_GB2312" w:hAnsi="仿宋_GB2312" w:eastAsia="仿宋_GB2312" w:cs="仿宋_GB2312"/>
          <w:color w:val="000000"/>
          <w:sz w:val="28"/>
          <w:szCs w:val="28"/>
          <w:highlight w:val="none"/>
        </w:rPr>
        <w:t>留学归国人员应持国家教育部留学服务中心认证学历、学位参加资格审查。</w:t>
      </w:r>
    </w:p>
    <w:p w14:paraId="7FC1EB76">
      <w:pPr>
        <w:spacing w:line="500" w:lineRule="exact"/>
        <w:ind w:firstLine="560" w:firstLineChars="20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五</w:t>
      </w:r>
      <w:r>
        <w:rPr>
          <w:rFonts w:ascii="黑体" w:hAnsi="黑体" w:eastAsia="黑体" w:cs="黑体"/>
          <w:color w:val="000000"/>
          <w:sz w:val="28"/>
          <w:szCs w:val="28"/>
          <w:highlight w:val="none"/>
        </w:rPr>
        <w:t>、违纪违规及存在不诚信情形的</w:t>
      </w:r>
      <w:r>
        <w:rPr>
          <w:rFonts w:hint="eastAsia" w:ascii="黑体" w:hAnsi="黑体" w:eastAsia="黑体" w:cs="黑体"/>
          <w:color w:val="000000"/>
          <w:sz w:val="28"/>
          <w:szCs w:val="28"/>
          <w:highlight w:val="none"/>
        </w:rPr>
        <w:t>报考</w:t>
      </w:r>
      <w:r>
        <w:rPr>
          <w:rFonts w:ascii="黑体" w:hAnsi="黑体" w:eastAsia="黑体" w:cs="黑体"/>
          <w:color w:val="000000"/>
          <w:sz w:val="28"/>
          <w:szCs w:val="28"/>
          <w:highlight w:val="none"/>
        </w:rPr>
        <w:t>人员如何处理？</w:t>
      </w:r>
    </w:p>
    <w:p w14:paraId="70C91D65">
      <w:pPr>
        <w:spacing w:line="50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报考</w:t>
      </w:r>
      <w:r>
        <w:rPr>
          <w:rFonts w:ascii="仿宋_GB2312" w:hAnsi="仿宋_GB2312" w:eastAsia="仿宋_GB2312" w:cs="仿宋_GB2312"/>
          <w:color w:val="000000"/>
          <w:sz w:val="28"/>
          <w:szCs w:val="28"/>
          <w:highlight w:val="none"/>
        </w:rPr>
        <w:t>人员要严格遵守公开</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的相关政策规定，遵从事业单位人事综合管理部门、人事考试机构和</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单位或其主管部门（举办单位）的统一安排，其在应聘期间的表现，将作为公开</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考察的重要内容之一。</w:t>
      </w:r>
    </w:p>
    <w:p w14:paraId="1142C524">
      <w:pPr>
        <w:spacing w:line="500" w:lineRule="exact"/>
        <w:ind w:firstLine="560" w:firstLineChars="20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对违反公开</w:t>
      </w:r>
      <w:r>
        <w:rPr>
          <w:rFonts w:hint="eastAsia" w:ascii="仿宋_GB2312" w:hAnsi="仿宋_GB2312" w:eastAsia="仿宋_GB2312" w:cs="仿宋_GB2312"/>
          <w:color w:val="000000"/>
          <w:sz w:val="28"/>
          <w:szCs w:val="28"/>
          <w:highlight w:val="none"/>
        </w:rPr>
        <w:t>选调</w:t>
      </w:r>
      <w:r>
        <w:rPr>
          <w:rFonts w:ascii="仿宋_GB2312" w:hAnsi="仿宋_GB2312" w:eastAsia="仿宋_GB2312" w:cs="仿宋_GB2312"/>
          <w:color w:val="000000"/>
          <w:sz w:val="28"/>
          <w:szCs w:val="28"/>
          <w:highlight w:val="none"/>
        </w:rPr>
        <w:t>纪律的</w:t>
      </w:r>
      <w:r>
        <w:rPr>
          <w:rFonts w:hint="eastAsia" w:ascii="仿宋_GB2312" w:hAnsi="仿宋_GB2312" w:eastAsia="仿宋_GB2312" w:cs="仿宋_GB2312"/>
          <w:color w:val="000000"/>
          <w:sz w:val="28"/>
          <w:szCs w:val="28"/>
          <w:highlight w:val="none"/>
        </w:rPr>
        <w:t>报考</w:t>
      </w:r>
      <w:r>
        <w:rPr>
          <w:rFonts w:ascii="仿宋_GB2312" w:hAnsi="仿宋_GB2312" w:eastAsia="仿宋_GB2312" w:cs="仿宋_GB2312"/>
          <w:color w:val="000000"/>
          <w:sz w:val="28"/>
          <w:szCs w:val="28"/>
          <w:highlight w:val="none"/>
        </w:rPr>
        <w:t>人员，</w:t>
      </w:r>
      <w:r>
        <w:rPr>
          <w:rFonts w:hint="eastAsia" w:ascii="仿宋_GB2312" w:hAnsi="仿宋_GB2312" w:eastAsia="仿宋_GB2312" w:cs="仿宋_GB2312"/>
          <w:color w:val="000000"/>
          <w:sz w:val="28"/>
          <w:szCs w:val="28"/>
          <w:highlight w:val="none"/>
        </w:rPr>
        <w:t>由主管部门将违纪情况反馈原工作单位</w:t>
      </w:r>
      <w:r>
        <w:rPr>
          <w:rFonts w:ascii="仿宋_GB2312" w:hAnsi="仿宋_GB2312" w:eastAsia="仿宋_GB2312" w:cs="仿宋_GB2312"/>
          <w:color w:val="000000"/>
          <w:sz w:val="28"/>
          <w:szCs w:val="28"/>
          <w:highlight w:val="none"/>
        </w:rPr>
        <w:t>。</w:t>
      </w:r>
    </w:p>
    <w:p w14:paraId="573D5D60">
      <w:pPr>
        <w:spacing w:line="500" w:lineRule="exact"/>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六</w:t>
      </w:r>
      <w:r>
        <w:rPr>
          <w:rFonts w:hint="eastAsia" w:ascii="黑体" w:hAnsi="黑体" w:eastAsia="黑体" w:cs="黑体"/>
          <w:color w:val="000000"/>
          <w:sz w:val="28"/>
          <w:szCs w:val="28"/>
          <w:highlight w:val="none"/>
        </w:rPr>
        <w:t>、其他</w:t>
      </w:r>
    </w:p>
    <w:p w14:paraId="598D6BAE">
      <w:pPr>
        <w:spacing w:line="500" w:lineRule="exact"/>
        <w:ind w:firstLine="560" w:firstLineChars="200"/>
        <w:rPr>
          <w:rFonts w:ascii="Times New Roman" w:hAnsi="Times New Roman" w:eastAsia="方正仿宋_GB2312"/>
          <w:snapToGrid w:val="0"/>
          <w:color w:val="000000"/>
          <w:kern w:val="0"/>
          <w:sz w:val="32"/>
          <w:szCs w:val="32"/>
          <w:highlight w:val="none"/>
        </w:rPr>
      </w:pPr>
      <w:r>
        <w:rPr>
          <w:rFonts w:ascii="仿宋_GB2312" w:hAnsi="仿宋_GB2312" w:eastAsia="仿宋_GB2312" w:cs="仿宋_GB2312"/>
          <w:color w:val="000000"/>
          <w:sz w:val="28"/>
          <w:szCs w:val="28"/>
          <w:highlight w:val="none"/>
        </w:rPr>
        <w:t>本</w:t>
      </w:r>
      <w:r>
        <w:rPr>
          <w:rFonts w:hint="eastAsia" w:ascii="仿宋_GB2312" w:hAnsi="仿宋_GB2312" w:eastAsia="仿宋_GB2312" w:cs="仿宋_GB2312"/>
          <w:color w:val="000000"/>
          <w:sz w:val="28"/>
          <w:szCs w:val="28"/>
          <w:highlight w:val="none"/>
        </w:rPr>
        <w:t>次选调</w:t>
      </w:r>
      <w:r>
        <w:rPr>
          <w:rFonts w:ascii="仿宋_GB2312" w:hAnsi="仿宋_GB2312" w:eastAsia="仿宋_GB2312" w:cs="仿宋_GB2312"/>
          <w:color w:val="000000"/>
          <w:sz w:val="28"/>
          <w:szCs w:val="28"/>
          <w:highlight w:val="none"/>
        </w:rPr>
        <w:t>公告</w:t>
      </w:r>
      <w:r>
        <w:rPr>
          <w:rFonts w:hint="eastAsia" w:ascii="仿宋_GB2312" w:hAnsi="仿宋_GB2312" w:eastAsia="仿宋_GB2312" w:cs="仿宋_GB2312"/>
          <w:color w:val="000000"/>
          <w:sz w:val="28"/>
          <w:szCs w:val="28"/>
          <w:highlight w:val="none"/>
        </w:rPr>
        <w:t>中</w:t>
      </w:r>
      <w:r>
        <w:rPr>
          <w:rFonts w:ascii="仿宋_GB2312" w:hAnsi="仿宋_GB2312" w:eastAsia="仿宋_GB2312" w:cs="仿宋_GB2312"/>
          <w:color w:val="000000"/>
          <w:sz w:val="28"/>
          <w:szCs w:val="28"/>
          <w:highlight w:val="none"/>
        </w:rPr>
        <w:t>所指“以上”“以下”“以前”“以后”均包含本级（数）。</w:t>
      </w:r>
    </w:p>
    <w:p w14:paraId="17634019"/>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409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1718EF">
                          <w:pPr>
                            <w:pStyle w:val="2"/>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1718EF">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059D6"/>
    <w:rsid w:val="49D84BF8"/>
    <w:rsid w:val="4D41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2186</Words>
  <Characters>2201</Characters>
  <Lines>0</Lines>
  <Paragraphs>0</Paragraphs>
  <TotalTime>0</TotalTime>
  <ScaleCrop>false</ScaleCrop>
  <LinksUpToDate>false</LinksUpToDate>
  <CharactersWithSpaces>2203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2024-10-09T07:56:00Z</dcterms:created>
  <dc:creator>HP。</dc:creator>
  <cp:lastModifiedBy>贾凯文</cp:lastModifiedBy>
  <dcterms:modified xsi:type="dcterms:W3CDTF">2026-04-24T07:24:48Z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F694B361A97741319AE0DFE12CE77D01</vt:lpwstr>
  </property>
  <property fmtid="{D5CDD505-2E9C-101B-9397-08002B2CF9AE}" pid="4" name="KSOTemplateDocerSaveRecord">
    <vt:lpwstr>eyJoZGlkIjoiYmZkMjFjZjY0NWVjYjQ2NTZkNzlkN2Y5ZDk5OGU4NDUiLCJ1c2VySWQiOiI1MDYyMjQ0OTUifQ==</vt:lpwstr>
  </property>
</Properties>
</file>